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84" w:rsidRPr="00C7231D" w:rsidRDefault="00FD4684" w:rsidP="00FD4684">
      <w:pPr>
        <w:pStyle w:val="Default"/>
        <w:spacing w:line="360" w:lineRule="auto"/>
        <w:rPr>
          <w:rFonts w:asciiTheme="majorBidi" w:hAnsiTheme="majorBidi" w:cstheme="majorBidi"/>
          <w:b/>
          <w:bCs/>
          <w:color w:val="000000" w:themeColor="text1"/>
        </w:rPr>
      </w:pPr>
      <w:r w:rsidRPr="00C7231D">
        <w:rPr>
          <w:rFonts w:asciiTheme="majorBidi" w:hAnsiTheme="majorBidi" w:cstheme="majorBidi"/>
          <w:b/>
          <w:bCs/>
          <w:color w:val="000000" w:themeColor="text1"/>
        </w:rPr>
        <w:t xml:space="preserve">2° Transmission par courroie </w:t>
      </w:r>
    </w:p>
    <w:p w:rsidR="00FD4684" w:rsidRPr="00C7231D" w:rsidRDefault="00FD4684" w:rsidP="00FD4684">
      <w:pPr>
        <w:pStyle w:val="Default"/>
        <w:spacing w:line="360" w:lineRule="auto"/>
        <w:jc w:val="both"/>
        <w:rPr>
          <w:rFonts w:asciiTheme="majorBidi" w:hAnsiTheme="majorBidi" w:cstheme="majorBidi"/>
          <w:b/>
          <w:bCs/>
          <w:color w:val="000000" w:themeColor="text1"/>
        </w:rPr>
      </w:pPr>
      <w:r w:rsidRPr="00C7231D">
        <w:rPr>
          <w:rFonts w:asciiTheme="majorBidi" w:hAnsiTheme="majorBidi" w:cstheme="majorBidi"/>
          <w:b/>
          <w:bCs/>
          <w:color w:val="000000" w:themeColor="text1"/>
        </w:rPr>
        <w:t xml:space="preserve">Principe :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xml:space="preserve">Elles agissent par friction. Elles établissent un contact entre deux poulies (poulies men antes et poulies menée) par l’intermédiaire d’une courroie, dans le but de transmettre une puissance.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xml:space="preserve">Les courroies doivent adhérer sur les poulies, mais ne doivent pas s’accrocher.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xml:space="preserve">La capacité de transmissions de puissance des courroies est fonction :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xml:space="preserve">- de la tension qui maintient la courroie sur la poulie.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xml:space="preserve">- de la friction entre la courroie et la poulie.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xml:space="preserve">- de l’arc de contact ou d’enroulement de la courroie sur les poulies.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 de la vitesse linéaire de la courroie.</w:t>
      </w:r>
      <w:r w:rsidRPr="00C7231D">
        <w:rPr>
          <w:rFonts w:asciiTheme="majorBidi" w:hAnsiTheme="majorBidi" w:cstheme="majorBidi"/>
          <w:b/>
          <w:bCs/>
          <w:color w:val="000000" w:themeColor="text1"/>
        </w:rPr>
        <w:t xml:space="preserve"> </w:t>
      </w:r>
    </w:p>
    <w:p w:rsidR="00FD4684" w:rsidRPr="00C7231D" w:rsidRDefault="00FD4684" w:rsidP="00FD4684">
      <w:pPr>
        <w:pStyle w:val="Default"/>
        <w:spacing w:line="360" w:lineRule="auto"/>
        <w:rPr>
          <w:rFonts w:asciiTheme="majorBidi" w:hAnsiTheme="majorBidi" w:cstheme="majorBidi"/>
          <w:b/>
          <w:bCs/>
          <w:color w:val="000000" w:themeColor="text1"/>
        </w:rPr>
      </w:pPr>
      <w:r w:rsidRPr="00C7231D">
        <w:rPr>
          <w:rFonts w:asciiTheme="majorBidi" w:hAnsiTheme="majorBidi" w:cstheme="majorBidi"/>
          <w:color w:val="000000" w:themeColor="text1"/>
        </w:rPr>
        <w:t>Exemples de différents montages de courroies.</w:t>
      </w:r>
      <w:r w:rsidRPr="00C7231D">
        <w:rPr>
          <w:rFonts w:asciiTheme="majorBidi" w:hAnsiTheme="majorBidi" w:cstheme="majorBidi"/>
          <w:b/>
          <w:bCs/>
          <w:color w:val="000000" w:themeColor="text1"/>
        </w:rPr>
        <w:t xml:space="preserve"> </w:t>
      </w:r>
      <w:r w:rsidRPr="00C7231D">
        <w:rPr>
          <w:rFonts w:asciiTheme="majorBidi" w:hAnsiTheme="majorBidi" w:cstheme="majorBidi"/>
          <w:color w:val="000000" w:themeColor="text1"/>
        </w:rPr>
        <w:t>(Figure N°14)</w:t>
      </w:r>
      <w:r w:rsidRPr="00C7231D">
        <w:rPr>
          <w:rFonts w:asciiTheme="majorBidi" w:hAnsiTheme="majorBidi" w:cstheme="majorBidi"/>
          <w:b/>
          <w:bCs/>
          <w:color w:val="000000" w:themeColor="text1"/>
        </w:rPr>
        <w:t xml:space="preserve"> [3] [1]</w:t>
      </w:r>
    </w:p>
    <w:p w:rsidR="00FD4684" w:rsidRPr="00C7231D" w:rsidRDefault="00FD4684" w:rsidP="00FD4684">
      <w:pPr>
        <w:pStyle w:val="Default"/>
        <w:spacing w:line="360" w:lineRule="auto"/>
        <w:jc w:val="center"/>
        <w:rPr>
          <w:rFonts w:asciiTheme="majorBidi" w:hAnsiTheme="majorBidi" w:cstheme="majorBidi"/>
          <w:b/>
          <w:bCs/>
          <w:color w:val="000000" w:themeColor="text1"/>
        </w:rPr>
      </w:pPr>
      <w:r w:rsidRPr="00C7231D">
        <w:rPr>
          <w:rFonts w:asciiTheme="majorBidi" w:hAnsiTheme="majorBidi" w:cstheme="majorBidi"/>
          <w:b/>
          <w:bCs/>
          <w:noProof/>
          <w:color w:val="000000" w:themeColor="text1"/>
        </w:rPr>
        <w:drawing>
          <wp:inline distT="0" distB="0" distL="0" distR="0">
            <wp:extent cx="4214283" cy="1399822"/>
            <wp:effectExtent l="19050" t="0" r="0" b="0"/>
            <wp:docPr id="21" name="Image 20" descr="F II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 II 17.PNG"/>
                    <pic:cNvPicPr/>
                  </pic:nvPicPr>
                  <pic:blipFill>
                    <a:blip r:embed="rId7" cstate="print">
                      <a:lum bright="-42000" contrast="21000"/>
                    </a:blip>
                    <a:stretch>
                      <a:fillRect/>
                    </a:stretch>
                  </pic:blipFill>
                  <pic:spPr>
                    <a:xfrm>
                      <a:off x="0" y="0"/>
                      <a:ext cx="4220165" cy="1401776"/>
                    </a:xfrm>
                    <a:prstGeom prst="rect">
                      <a:avLst/>
                    </a:prstGeom>
                  </pic:spPr>
                </pic:pic>
              </a:graphicData>
            </a:graphic>
          </wp:inline>
        </w:drawing>
      </w:r>
    </w:p>
    <w:p w:rsidR="00FD4684" w:rsidRPr="00C7231D" w:rsidRDefault="00FD4684" w:rsidP="00FD4684">
      <w:pPr>
        <w:tabs>
          <w:tab w:val="left" w:pos="3525"/>
        </w:tabs>
        <w:spacing w:after="0" w:line="360" w:lineRule="auto"/>
        <w:jc w:val="center"/>
        <w:rPr>
          <w:rFonts w:asciiTheme="majorBidi" w:hAnsiTheme="majorBidi" w:cstheme="majorBidi"/>
          <w:i/>
          <w:iCs/>
          <w:color w:val="000000" w:themeColor="text1"/>
          <w:sz w:val="20"/>
          <w:szCs w:val="20"/>
        </w:rPr>
      </w:pPr>
      <w:r w:rsidRPr="00C7231D">
        <w:rPr>
          <w:rFonts w:asciiTheme="majorBidi" w:hAnsiTheme="majorBidi" w:cstheme="majorBidi"/>
          <w:b/>
          <w:bCs/>
          <w:color w:val="000000" w:themeColor="text1"/>
          <w:sz w:val="20"/>
          <w:szCs w:val="20"/>
        </w:rPr>
        <w:t xml:space="preserve">Figure II.14 : </w:t>
      </w:r>
      <w:r w:rsidRPr="00C7231D">
        <w:rPr>
          <w:rFonts w:asciiTheme="majorBidi" w:hAnsiTheme="majorBidi" w:cstheme="majorBidi"/>
          <w:i/>
          <w:iCs/>
          <w:color w:val="000000" w:themeColor="text1"/>
          <w:sz w:val="20"/>
          <w:szCs w:val="20"/>
        </w:rPr>
        <w:t>différents montages de courroies</w:t>
      </w:r>
    </w:p>
    <w:p w:rsidR="00FD4684" w:rsidRPr="00C7231D" w:rsidRDefault="00FD4684" w:rsidP="00FD4684">
      <w:pPr>
        <w:pStyle w:val="Paragraphedeliste"/>
        <w:tabs>
          <w:tab w:val="left" w:pos="3525"/>
        </w:tabs>
        <w:spacing w:after="0" w:line="360" w:lineRule="auto"/>
        <w:ind w:left="0"/>
        <w:rPr>
          <w:rFonts w:asciiTheme="majorBidi" w:hAnsiTheme="majorBidi" w:cstheme="majorBidi"/>
          <w:b/>
          <w:bCs/>
          <w:color w:val="000000" w:themeColor="text1"/>
          <w:sz w:val="24"/>
          <w:szCs w:val="24"/>
        </w:rPr>
      </w:pPr>
      <w:r w:rsidRPr="00C7231D">
        <w:rPr>
          <w:rFonts w:asciiTheme="majorBidi" w:hAnsiTheme="majorBidi" w:cstheme="majorBidi"/>
          <w:color w:val="000000" w:themeColor="text1"/>
          <w:sz w:val="24"/>
          <w:szCs w:val="24"/>
        </w:rPr>
        <w:t>Les différents types de courroies.</w:t>
      </w:r>
      <w:r w:rsidRPr="00C7231D">
        <w:rPr>
          <w:rFonts w:asciiTheme="majorBidi" w:hAnsiTheme="majorBidi" w:cstheme="majorBidi"/>
          <w:b/>
          <w:bCs/>
          <w:color w:val="000000" w:themeColor="text1"/>
          <w:sz w:val="24"/>
          <w:szCs w:val="24"/>
        </w:rPr>
        <w:t xml:space="preserve"> </w:t>
      </w:r>
      <w:r w:rsidRPr="00C7231D">
        <w:rPr>
          <w:rFonts w:asciiTheme="majorBidi" w:hAnsiTheme="majorBidi" w:cstheme="majorBidi"/>
          <w:color w:val="000000" w:themeColor="text1"/>
          <w:sz w:val="24"/>
          <w:szCs w:val="24"/>
        </w:rPr>
        <w:t>(Figure N°15)</w:t>
      </w:r>
      <w:r w:rsidRPr="00C7231D">
        <w:rPr>
          <w:rFonts w:asciiTheme="majorBidi" w:hAnsiTheme="majorBidi" w:cstheme="majorBidi"/>
          <w:b/>
          <w:bCs/>
          <w:color w:val="000000" w:themeColor="text1"/>
          <w:sz w:val="24"/>
          <w:szCs w:val="24"/>
        </w:rPr>
        <w:t xml:space="preserve">  </w:t>
      </w:r>
      <w:r w:rsidRPr="00C7231D">
        <w:rPr>
          <w:rFonts w:asciiTheme="majorBidi" w:hAnsiTheme="majorBidi" w:cstheme="majorBidi"/>
          <w:b/>
          <w:bCs/>
          <w:color w:val="000000" w:themeColor="text1"/>
        </w:rPr>
        <w:t>[4]</w:t>
      </w:r>
    </w:p>
    <w:p w:rsidR="00FD4684" w:rsidRPr="00C7231D" w:rsidRDefault="00FD4684" w:rsidP="00FD4684">
      <w:pPr>
        <w:tabs>
          <w:tab w:val="left" w:pos="3525"/>
        </w:tabs>
        <w:spacing w:after="0" w:line="360" w:lineRule="auto"/>
        <w:jc w:val="center"/>
        <w:rPr>
          <w:rFonts w:asciiTheme="majorBidi" w:hAnsiTheme="majorBidi" w:cstheme="majorBidi"/>
          <w:b/>
          <w:bCs/>
          <w:color w:val="000000" w:themeColor="text1"/>
          <w:sz w:val="24"/>
          <w:szCs w:val="24"/>
        </w:rPr>
      </w:pPr>
      <w:r w:rsidRPr="00C7231D">
        <w:rPr>
          <w:rFonts w:asciiTheme="majorBidi" w:hAnsiTheme="majorBidi" w:cstheme="majorBidi"/>
          <w:b/>
          <w:bCs/>
          <w:noProof/>
          <w:color w:val="000000" w:themeColor="text1"/>
          <w:sz w:val="24"/>
          <w:szCs w:val="24"/>
        </w:rPr>
        <w:drawing>
          <wp:inline distT="0" distB="0" distL="0" distR="0">
            <wp:extent cx="4315557" cy="1696916"/>
            <wp:effectExtent l="19050" t="0" r="8793" b="0"/>
            <wp:docPr id="37" name="Image 36" descr="F II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 II 18.PNG"/>
                    <pic:cNvPicPr/>
                  </pic:nvPicPr>
                  <pic:blipFill>
                    <a:blip r:embed="rId8" cstate="print">
                      <a:lum bright="-33000" contrast="21000"/>
                    </a:blip>
                    <a:stretch>
                      <a:fillRect/>
                    </a:stretch>
                  </pic:blipFill>
                  <pic:spPr>
                    <a:xfrm>
                      <a:off x="0" y="0"/>
                      <a:ext cx="4320878" cy="1699008"/>
                    </a:xfrm>
                    <a:prstGeom prst="rect">
                      <a:avLst/>
                    </a:prstGeom>
                  </pic:spPr>
                </pic:pic>
              </a:graphicData>
            </a:graphic>
          </wp:inline>
        </w:drawing>
      </w:r>
    </w:p>
    <w:p w:rsidR="00FD4684" w:rsidRPr="00C7231D" w:rsidRDefault="00FD4684" w:rsidP="00FD4684">
      <w:pPr>
        <w:tabs>
          <w:tab w:val="left" w:pos="3525"/>
        </w:tabs>
        <w:spacing w:after="0" w:line="360" w:lineRule="auto"/>
        <w:jc w:val="center"/>
        <w:rPr>
          <w:rFonts w:asciiTheme="majorBidi" w:hAnsiTheme="majorBidi" w:cstheme="majorBidi"/>
          <w:i/>
          <w:iCs/>
          <w:color w:val="000000" w:themeColor="text1"/>
          <w:sz w:val="20"/>
          <w:szCs w:val="20"/>
        </w:rPr>
      </w:pPr>
      <w:r w:rsidRPr="00C7231D">
        <w:rPr>
          <w:rFonts w:asciiTheme="majorBidi" w:hAnsiTheme="majorBidi" w:cstheme="majorBidi"/>
          <w:b/>
          <w:bCs/>
          <w:color w:val="000000" w:themeColor="text1"/>
          <w:sz w:val="20"/>
          <w:szCs w:val="20"/>
        </w:rPr>
        <w:t xml:space="preserve">Figure II.15 : </w:t>
      </w:r>
      <w:r w:rsidRPr="00C7231D">
        <w:rPr>
          <w:rFonts w:asciiTheme="majorBidi" w:hAnsiTheme="majorBidi" w:cstheme="majorBidi"/>
          <w:i/>
          <w:iCs/>
          <w:color w:val="000000" w:themeColor="text1"/>
          <w:sz w:val="20"/>
          <w:szCs w:val="20"/>
        </w:rPr>
        <w:t>Les différents types de courroies</w:t>
      </w:r>
    </w:p>
    <w:p w:rsidR="00FD4684" w:rsidRPr="00C7231D" w:rsidRDefault="00FD4684" w:rsidP="00FD4684">
      <w:pPr>
        <w:pStyle w:val="Default"/>
        <w:spacing w:line="360" w:lineRule="auto"/>
        <w:jc w:val="both"/>
        <w:rPr>
          <w:rFonts w:asciiTheme="majorBidi" w:hAnsiTheme="majorBidi" w:cstheme="majorBidi"/>
          <w:b/>
          <w:bCs/>
          <w:color w:val="000000" w:themeColor="text1"/>
        </w:rPr>
      </w:pPr>
      <w:r w:rsidRPr="00C7231D">
        <w:rPr>
          <w:rFonts w:asciiTheme="majorBidi" w:hAnsiTheme="majorBidi" w:cstheme="majorBidi"/>
          <w:b/>
          <w:bCs/>
          <w:color w:val="000000" w:themeColor="text1"/>
        </w:rPr>
        <w:t xml:space="preserve">3° Transmission par engrenage </w:t>
      </w:r>
    </w:p>
    <w:p w:rsidR="00FD4684" w:rsidRPr="00C7231D" w:rsidRDefault="00FD4684" w:rsidP="00FD4684">
      <w:pPr>
        <w:pStyle w:val="Default"/>
        <w:spacing w:line="360" w:lineRule="auto"/>
        <w:jc w:val="both"/>
        <w:rPr>
          <w:rFonts w:asciiTheme="majorBidi" w:hAnsiTheme="majorBidi" w:cstheme="majorBidi"/>
          <w:b/>
          <w:bCs/>
          <w:color w:val="000000" w:themeColor="text1"/>
        </w:rPr>
      </w:pPr>
      <w:r w:rsidRPr="00C7231D">
        <w:rPr>
          <w:rFonts w:asciiTheme="majorBidi" w:hAnsiTheme="majorBidi" w:cstheme="majorBidi"/>
          <w:b/>
          <w:bCs/>
          <w:color w:val="000000" w:themeColor="text1"/>
        </w:rPr>
        <w:t xml:space="preserve">Principe  </w:t>
      </w:r>
    </w:p>
    <w:p w:rsidR="00FD4684" w:rsidRPr="00C7231D" w:rsidRDefault="00FD4684" w:rsidP="00FD4684">
      <w:pPr>
        <w:pStyle w:val="Default"/>
        <w:spacing w:line="360" w:lineRule="auto"/>
        <w:jc w:val="both"/>
        <w:rPr>
          <w:rFonts w:asciiTheme="majorBidi" w:hAnsiTheme="majorBidi" w:cstheme="majorBidi"/>
          <w:color w:val="000000" w:themeColor="text1"/>
        </w:rPr>
      </w:pPr>
      <w:r w:rsidRPr="00C7231D">
        <w:rPr>
          <w:rFonts w:asciiTheme="majorBidi" w:hAnsiTheme="majorBidi" w:cstheme="majorBidi"/>
          <w:color w:val="000000" w:themeColor="text1"/>
        </w:rPr>
        <w:t>Si deux cercles de base munis de courbes en développante de cercle sont espacés d’un entraxe Δ, on constate que pendant l’engrènement, les deux développantes restent en contact suivant une droite appelée ligne d’action inclinée d’un angle α par rapport à la tangente commune à deux cercles appelés cercles primitifs. L’engrènement est équivalent à un entraînement entre deux roues de friction de diamètres respectifs les diamètres des cercles primitifs.</w:t>
      </w:r>
      <w:r w:rsidRPr="00C7231D">
        <w:rPr>
          <w:rFonts w:asciiTheme="majorBidi" w:hAnsiTheme="majorBidi" w:cstheme="majorBidi"/>
          <w:b/>
          <w:bCs/>
          <w:color w:val="000000" w:themeColor="text1"/>
        </w:rPr>
        <w:t xml:space="preserve"> [1] </w:t>
      </w:r>
    </w:p>
    <w:p w:rsidR="00FD4684" w:rsidRPr="00FD4684" w:rsidRDefault="00FD4684" w:rsidP="00FD4684">
      <w:pPr>
        <w:pStyle w:val="Paragraphedeliste"/>
        <w:tabs>
          <w:tab w:val="left" w:pos="3525"/>
        </w:tabs>
        <w:spacing w:after="0" w:line="360" w:lineRule="auto"/>
        <w:ind w:left="0"/>
        <w:jc w:val="both"/>
        <w:rPr>
          <w:rFonts w:asciiTheme="majorBidi" w:hAnsiTheme="majorBidi" w:cstheme="majorBidi"/>
          <w:b/>
          <w:bCs/>
          <w:color w:val="000000" w:themeColor="text1"/>
          <w:sz w:val="24"/>
          <w:szCs w:val="24"/>
        </w:rPr>
      </w:pPr>
      <w:r w:rsidRPr="00C7231D">
        <w:rPr>
          <w:rFonts w:asciiTheme="majorBidi" w:hAnsiTheme="majorBidi" w:cstheme="majorBidi"/>
          <w:color w:val="000000" w:themeColor="text1"/>
          <w:sz w:val="24"/>
          <w:szCs w:val="24"/>
        </w:rPr>
        <w:t>Engrenages cylindriques à denture droite.</w:t>
      </w:r>
      <w:r w:rsidRPr="00C7231D">
        <w:rPr>
          <w:rFonts w:asciiTheme="majorBidi" w:hAnsiTheme="majorBidi" w:cstheme="majorBidi"/>
          <w:b/>
          <w:bCs/>
          <w:color w:val="000000" w:themeColor="text1"/>
          <w:sz w:val="24"/>
          <w:szCs w:val="24"/>
        </w:rPr>
        <w:t xml:space="preserve"> </w:t>
      </w:r>
      <w:r w:rsidRPr="00C7231D">
        <w:rPr>
          <w:rFonts w:asciiTheme="majorBidi" w:hAnsiTheme="majorBidi" w:cstheme="majorBidi"/>
          <w:color w:val="000000" w:themeColor="text1"/>
          <w:sz w:val="24"/>
          <w:szCs w:val="24"/>
        </w:rPr>
        <w:t xml:space="preserve">(Figure N°16) </w:t>
      </w:r>
      <w:r w:rsidRPr="00C7231D">
        <w:rPr>
          <w:rFonts w:asciiTheme="majorBidi" w:hAnsiTheme="majorBidi" w:cstheme="majorBidi"/>
          <w:b/>
          <w:bCs/>
          <w:color w:val="000000" w:themeColor="text1"/>
          <w:sz w:val="24"/>
          <w:szCs w:val="24"/>
        </w:rPr>
        <w:t>[3]</w:t>
      </w:r>
    </w:p>
    <w:sectPr w:rsidR="00FD4684" w:rsidRPr="00FD4684" w:rsidSect="00FE523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39" w:rsidRDefault="00EF5639" w:rsidP="00FE523D">
      <w:pPr>
        <w:spacing w:after="0" w:line="240" w:lineRule="auto"/>
      </w:pPr>
      <w:r>
        <w:separator/>
      </w:r>
    </w:p>
  </w:endnote>
  <w:endnote w:type="continuationSeparator" w:id="0">
    <w:p w:rsidR="00EF5639" w:rsidRDefault="00EF5639" w:rsidP="00FE5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50" w:rsidRDefault="00BE63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23D" w:rsidRDefault="00FE523D" w:rsidP="00984119">
    <w:pPr>
      <w:pStyle w:val="Pieddepage"/>
      <w:pBdr>
        <w:top w:val="thinThickSmallGap" w:sz="24" w:space="1" w:color="622423" w:themeColor="accent2" w:themeShade="7F"/>
      </w:pBdr>
      <w:rPr>
        <w:rFonts w:asciiTheme="majorHAnsi" w:hAnsiTheme="majorHAnsi"/>
      </w:rPr>
    </w:pPr>
    <w:r>
      <w:rPr>
        <w:rFonts w:asciiTheme="majorHAnsi" w:hAnsiTheme="majorHAnsi"/>
      </w:rPr>
      <w:t>UIK Tiaret</w:t>
    </w:r>
    <w:r>
      <w:rPr>
        <w:rFonts w:asciiTheme="majorHAnsi" w:hAnsiTheme="majorHAnsi"/>
      </w:rPr>
      <w:ptab w:relativeTo="margin" w:alignment="right" w:leader="none"/>
    </w:r>
    <w:r>
      <w:rPr>
        <w:rFonts w:asciiTheme="majorHAnsi" w:hAnsiTheme="majorHAnsi"/>
      </w:rPr>
      <w:t xml:space="preserve">Page </w:t>
    </w:r>
    <w:r w:rsidR="001F14F4">
      <w:t>33</w:t>
    </w:r>
  </w:p>
  <w:p w:rsidR="00FE523D" w:rsidRDefault="00FE523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50" w:rsidRDefault="00BE63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39" w:rsidRDefault="00EF5639" w:rsidP="00FE523D">
      <w:pPr>
        <w:spacing w:after="0" w:line="240" w:lineRule="auto"/>
      </w:pPr>
      <w:r>
        <w:separator/>
      </w:r>
    </w:p>
  </w:footnote>
  <w:footnote w:type="continuationSeparator" w:id="0">
    <w:p w:rsidR="00EF5639" w:rsidRDefault="00EF5639" w:rsidP="00FE5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50" w:rsidRDefault="00BE635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sz w:val="24"/>
        <w:szCs w:val="24"/>
      </w:rPr>
      <w:alias w:val="Titre"/>
      <w:id w:val="77738743"/>
      <w:placeholder>
        <w:docPart w:val="DFBE4215DEAB445FA0DBBB41BD5E5207"/>
      </w:placeholder>
      <w:dataBinding w:prefixMappings="xmlns:ns0='http://schemas.openxmlformats.org/package/2006/metadata/core-properties' xmlns:ns1='http://purl.org/dc/elements/1.1/'" w:xpath="/ns0:coreProperties[1]/ns1:title[1]" w:storeItemID="{6C3C8BC8-F283-45AE-878A-BAB7291924A1}"/>
      <w:text/>
    </w:sdtPr>
    <w:sdtContent>
      <w:p w:rsidR="00A75C74" w:rsidRDefault="00A75C74" w:rsidP="00A75C74">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A75C74">
          <w:rPr>
            <w:rFonts w:asciiTheme="majorBidi" w:eastAsiaTheme="majorEastAsia" w:hAnsiTheme="majorBidi" w:cstheme="majorBidi"/>
            <w:b/>
            <w:bCs/>
            <w:sz w:val="24"/>
            <w:szCs w:val="24"/>
          </w:rPr>
          <w:t>CHAPITRE II :                                                            FRAISEUSE UNIVERSELLE MAHO 800</w:t>
        </w:r>
      </w:p>
    </w:sdtContent>
  </w:sdt>
  <w:p w:rsidR="00A75C74" w:rsidRDefault="00A75C7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50" w:rsidRDefault="00BE635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04AC"/>
    <w:multiLevelType w:val="hybridMultilevel"/>
    <w:tmpl w:val="BFBAB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0D1E68"/>
    <w:multiLevelType w:val="hybridMultilevel"/>
    <w:tmpl w:val="7A56A3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523D"/>
    <w:rsid w:val="001F14F4"/>
    <w:rsid w:val="006F4155"/>
    <w:rsid w:val="00924AEE"/>
    <w:rsid w:val="00984119"/>
    <w:rsid w:val="00A75C74"/>
    <w:rsid w:val="00BE6350"/>
    <w:rsid w:val="00E85616"/>
    <w:rsid w:val="00EC4CCB"/>
    <w:rsid w:val="00EF5639"/>
    <w:rsid w:val="00FD4684"/>
    <w:rsid w:val="00FE52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23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E523D"/>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Paragraphedeliste">
    <w:name w:val="List Paragraph"/>
    <w:basedOn w:val="Normal"/>
    <w:uiPriority w:val="34"/>
    <w:qFormat/>
    <w:rsid w:val="00FE523D"/>
    <w:pPr>
      <w:ind w:left="720"/>
      <w:contextualSpacing/>
    </w:pPr>
  </w:style>
  <w:style w:type="paragraph" w:styleId="Textedebulles">
    <w:name w:val="Balloon Text"/>
    <w:basedOn w:val="Normal"/>
    <w:link w:val="TextedebullesCar"/>
    <w:uiPriority w:val="99"/>
    <w:semiHidden/>
    <w:unhideWhenUsed/>
    <w:rsid w:val="00FE52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23D"/>
    <w:rPr>
      <w:rFonts w:ascii="Tahoma" w:eastAsiaTheme="minorEastAsia" w:hAnsi="Tahoma" w:cs="Tahoma"/>
      <w:sz w:val="16"/>
      <w:szCs w:val="16"/>
      <w:lang w:eastAsia="fr-FR"/>
    </w:rPr>
  </w:style>
  <w:style w:type="paragraph" w:styleId="En-tte">
    <w:name w:val="header"/>
    <w:basedOn w:val="Normal"/>
    <w:link w:val="En-tteCar"/>
    <w:uiPriority w:val="99"/>
    <w:unhideWhenUsed/>
    <w:rsid w:val="00FE523D"/>
    <w:pPr>
      <w:tabs>
        <w:tab w:val="center" w:pos="4536"/>
        <w:tab w:val="right" w:pos="9072"/>
      </w:tabs>
      <w:spacing w:after="0" w:line="240" w:lineRule="auto"/>
    </w:pPr>
  </w:style>
  <w:style w:type="character" w:customStyle="1" w:styleId="En-tteCar">
    <w:name w:val="En-tête Car"/>
    <w:basedOn w:val="Policepardfaut"/>
    <w:link w:val="En-tte"/>
    <w:uiPriority w:val="99"/>
    <w:rsid w:val="00FE523D"/>
    <w:rPr>
      <w:rFonts w:eastAsiaTheme="minorEastAsia"/>
      <w:lang w:eastAsia="fr-FR"/>
    </w:rPr>
  </w:style>
  <w:style w:type="paragraph" w:styleId="Pieddepage">
    <w:name w:val="footer"/>
    <w:basedOn w:val="Normal"/>
    <w:link w:val="PieddepageCar"/>
    <w:uiPriority w:val="99"/>
    <w:unhideWhenUsed/>
    <w:rsid w:val="00FE52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23D"/>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BE4215DEAB445FA0DBBB41BD5E5207"/>
        <w:category>
          <w:name w:val="Général"/>
          <w:gallery w:val="placeholder"/>
        </w:category>
        <w:types>
          <w:type w:val="bbPlcHdr"/>
        </w:types>
        <w:behaviors>
          <w:behavior w:val="content"/>
        </w:behaviors>
        <w:guid w:val="{06FE8AD9-7D92-44CB-BE55-1B1983DA423F}"/>
      </w:docPartPr>
      <w:docPartBody>
        <w:p w:rsidR="008074DB" w:rsidRDefault="00D66E71" w:rsidP="00D66E71">
          <w:pPr>
            <w:pStyle w:val="DFBE4215DEAB445FA0DBBB41BD5E520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66E71"/>
    <w:rsid w:val="008074DB"/>
    <w:rsid w:val="00A84F19"/>
    <w:rsid w:val="00D66E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94B844BFA4473F90ACFC729A7D0149">
    <w:name w:val="3594B844BFA4473F90ACFC729A7D0149"/>
    <w:rsid w:val="00D66E71"/>
  </w:style>
  <w:style w:type="paragraph" w:customStyle="1" w:styleId="DFBE4215DEAB445FA0DBBB41BD5E5207">
    <w:name w:val="DFBE4215DEAB445FA0DBBB41BD5E5207"/>
    <w:rsid w:val="00D66E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1180</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II :                                                            FRAISEUSE UNIVERSELLE MAHO 800</dc:title>
  <dc:subject/>
  <dc:creator>P_C</dc:creator>
  <cp:keywords/>
  <dc:description/>
  <cp:lastModifiedBy>P_C</cp:lastModifiedBy>
  <cp:revision>8</cp:revision>
  <dcterms:created xsi:type="dcterms:W3CDTF">2016-06-23T00:42:00Z</dcterms:created>
  <dcterms:modified xsi:type="dcterms:W3CDTF">2016-06-23T00:48:00Z</dcterms:modified>
</cp:coreProperties>
</file>