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Bidi" w:eastAsia="Calibri" w:hAnsiTheme="majorBidi" w:cs="Arial"/>
          <w:b w:val="0"/>
          <w:bCs w:val="0"/>
          <w:color w:val="auto"/>
          <w:sz w:val="24"/>
          <w:szCs w:val="24"/>
        </w:rPr>
        <w:id w:val="1832842"/>
        <w:docPartObj>
          <w:docPartGallery w:val="Table of Contents"/>
          <w:docPartUnique/>
        </w:docPartObj>
      </w:sdtPr>
      <w:sdtEndPr>
        <w:rPr>
          <w:rFonts w:eastAsiaTheme="minorEastAsia" w:cstheme="minorBidi"/>
          <w:rtl/>
          <w:lang w:val="en-US"/>
        </w:rPr>
      </w:sdtEndPr>
      <w:sdtContent>
        <w:p w:rsidR="0031271A" w:rsidRDefault="0031271A" w:rsidP="0031271A">
          <w:pPr>
            <w:pStyle w:val="En-ttedetabledesmatires"/>
            <w:jc w:val="center"/>
            <w:rPr>
              <w:rFonts w:asciiTheme="majorBidi" w:hAnsiTheme="majorBidi"/>
              <w:color w:val="auto"/>
            </w:rPr>
          </w:pPr>
          <w:r w:rsidRPr="002130A8">
            <w:rPr>
              <w:rFonts w:asciiTheme="majorBidi" w:hAnsiTheme="majorBidi"/>
              <w:color w:val="auto"/>
            </w:rPr>
            <w:t>Sommaire</w:t>
          </w:r>
        </w:p>
        <w:p w:rsidR="0031271A" w:rsidRPr="002130A8" w:rsidRDefault="0031271A" w:rsidP="0031271A">
          <w:pPr>
            <w:rPr>
              <w:rFonts w:hint="cs"/>
              <w:lang w:bidi="ar-DZ"/>
            </w:rPr>
          </w:pPr>
        </w:p>
        <w:p w:rsidR="0031271A" w:rsidRPr="002130A8" w:rsidRDefault="0031271A" w:rsidP="0031271A">
          <w:pPr>
            <w:pStyle w:val="TM1"/>
            <w:tabs>
              <w:tab w:val="right" w:leader="dot" w:pos="9628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  <w:lang w:eastAsia="fr-FR"/>
            </w:rPr>
          </w:pPr>
          <w:r w:rsidRPr="002130A8">
            <w:rPr>
              <w:rFonts w:asciiTheme="majorBidi" w:hAnsiTheme="majorBidi" w:cstheme="majorBidi"/>
              <w:sz w:val="24"/>
              <w:szCs w:val="24"/>
            </w:rPr>
            <w:fldChar w:fldCharType="begin"/>
          </w:r>
          <w:r w:rsidRPr="002130A8">
            <w:rPr>
              <w:rFonts w:asciiTheme="majorBidi" w:hAnsiTheme="majorBidi" w:cstheme="majorBidi"/>
              <w:sz w:val="24"/>
              <w:szCs w:val="24"/>
            </w:rPr>
            <w:instrText xml:space="preserve"> TOC \o "1-3" \h \z \u </w:instrText>
          </w:r>
          <w:r w:rsidRPr="002130A8">
            <w:rPr>
              <w:rFonts w:asciiTheme="majorBidi" w:hAnsiTheme="majorBidi" w:cstheme="majorBidi"/>
              <w:sz w:val="24"/>
              <w:szCs w:val="24"/>
            </w:rPr>
            <w:fldChar w:fldCharType="separate"/>
          </w:r>
          <w:hyperlink w:anchor="_Toc390857846" w:history="1">
            <w:r w:rsidRPr="002130A8">
              <w:rPr>
                <w:rStyle w:val="Lienhypertexte"/>
                <w:rFonts w:asciiTheme="majorBidi" w:hAnsiTheme="majorBidi" w:cstheme="majorBidi"/>
                <w:noProof/>
                <w:sz w:val="24"/>
                <w:szCs w:val="24"/>
              </w:rPr>
              <w:t>Introduction générale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_Toc390857846 \h </w:instrTex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2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271A" w:rsidRPr="002130A8" w:rsidRDefault="0031271A" w:rsidP="0031271A">
          <w:pPr>
            <w:pStyle w:val="TM1"/>
            <w:tabs>
              <w:tab w:val="right" w:leader="dot" w:pos="9628"/>
            </w:tabs>
            <w:rPr>
              <w:rStyle w:val="Lienhypertexte"/>
              <w:rFonts w:asciiTheme="majorBidi" w:hAnsiTheme="majorBidi" w:cstheme="majorBidi"/>
              <w:noProof/>
              <w:sz w:val="24"/>
              <w:szCs w:val="24"/>
            </w:rPr>
          </w:pPr>
          <w:r w:rsidRPr="002130A8">
            <w:rPr>
              <w:rStyle w:val="Lienhypertexte"/>
              <w:rFonts w:asciiTheme="majorBidi" w:hAnsiTheme="majorBidi" w:cstheme="majorBidi"/>
              <w:noProof/>
              <w:sz w:val="24"/>
              <w:szCs w:val="24"/>
            </w:rPr>
            <w:t>Chapitre 1: Présentation de l'unité ALFET.</w:t>
          </w:r>
        </w:p>
        <w:p w:rsidR="0031271A" w:rsidRPr="002130A8" w:rsidRDefault="0031271A" w:rsidP="0031271A">
          <w:pPr>
            <w:pStyle w:val="TM1"/>
            <w:tabs>
              <w:tab w:val="right" w:leader="dot" w:pos="9628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  <w:lang w:eastAsia="fr-FR"/>
            </w:rPr>
          </w:pPr>
          <w:hyperlink w:anchor="_Toc390857847" w:history="1">
            <w:r w:rsidRPr="002130A8">
              <w:rPr>
                <w:rStyle w:val="Lienhypertexte"/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t>1. Introduction :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_Toc390857847 \h </w:instrTex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4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271A" w:rsidRPr="002130A8" w:rsidRDefault="0031271A" w:rsidP="0031271A">
          <w:pPr>
            <w:pStyle w:val="TM1"/>
            <w:tabs>
              <w:tab w:val="right" w:leader="dot" w:pos="9628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  <w:lang w:eastAsia="fr-FR"/>
            </w:rPr>
          </w:pPr>
          <w:hyperlink w:anchor="_Toc390857848" w:history="1">
            <w:r w:rsidRPr="002130A8">
              <w:rPr>
                <w:rStyle w:val="Lienhypertexte"/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t>2. Fonctions du groupe FONDAL :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_Toc390857848 \h </w:instrTex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4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271A" w:rsidRPr="002130A8" w:rsidRDefault="0031271A" w:rsidP="0031271A">
          <w:pPr>
            <w:pStyle w:val="TM1"/>
            <w:tabs>
              <w:tab w:val="right" w:leader="dot" w:pos="9628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  <w:lang w:eastAsia="fr-FR"/>
            </w:rPr>
          </w:pPr>
          <w:hyperlink w:anchor="_Toc390857849" w:history="1">
            <w:r w:rsidRPr="002130A8">
              <w:rPr>
                <w:rStyle w:val="Lienhypertexte"/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t>3.  Organisation structurelle de la société FONDAL :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_Toc390857849 \h </w:instrTex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6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271A" w:rsidRPr="002130A8" w:rsidRDefault="0031271A" w:rsidP="0031271A">
          <w:pPr>
            <w:pStyle w:val="TM1"/>
            <w:tabs>
              <w:tab w:val="right" w:leader="dot" w:pos="9628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  <w:lang w:eastAsia="fr-FR"/>
            </w:rPr>
          </w:pPr>
          <w:hyperlink w:anchor="_Toc390857850" w:history="1">
            <w:r w:rsidRPr="002130A8">
              <w:rPr>
                <w:rStyle w:val="Lienhypertexte"/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t>4.  Les différents postes de travail de la filiale ALFET :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_Toc390857850 \h </w:instrTex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6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271A" w:rsidRPr="002130A8" w:rsidRDefault="0031271A" w:rsidP="0031271A">
          <w:pPr>
            <w:pStyle w:val="TM2"/>
            <w:tabs>
              <w:tab w:val="right" w:leader="dot" w:pos="9628"/>
            </w:tabs>
            <w:rPr>
              <w:rFonts w:asciiTheme="majorBidi" w:hAnsiTheme="majorBidi" w:cstheme="majorBidi"/>
              <w:noProof/>
              <w:sz w:val="24"/>
              <w:szCs w:val="24"/>
            </w:rPr>
          </w:pPr>
          <w:hyperlink w:anchor="_Toc390857851" w:history="1">
            <w:r w:rsidRPr="002130A8">
              <w:rPr>
                <w:rStyle w:val="Lienhypertexte"/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t>4.1.  Atelier de fusion :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_Toc390857851 \h </w:instrTex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7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271A" w:rsidRPr="002130A8" w:rsidRDefault="0031271A" w:rsidP="0031271A">
          <w:pPr>
            <w:pStyle w:val="TM2"/>
            <w:tabs>
              <w:tab w:val="right" w:leader="dot" w:pos="9628"/>
            </w:tabs>
            <w:rPr>
              <w:rFonts w:asciiTheme="majorBidi" w:hAnsiTheme="majorBidi" w:cstheme="majorBidi"/>
              <w:noProof/>
              <w:sz w:val="24"/>
              <w:szCs w:val="24"/>
            </w:rPr>
          </w:pPr>
          <w:hyperlink w:anchor="_Toc390857852" w:history="1">
            <w:r w:rsidRPr="002130A8">
              <w:rPr>
                <w:rStyle w:val="Lienhypertexte"/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t>4.2.  Atelier de moulage :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_Toc390857852 \h </w:instrTex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7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271A" w:rsidRPr="002130A8" w:rsidRDefault="0031271A" w:rsidP="0031271A">
          <w:pPr>
            <w:pStyle w:val="TM2"/>
            <w:tabs>
              <w:tab w:val="right" w:leader="dot" w:pos="9628"/>
            </w:tabs>
            <w:rPr>
              <w:rFonts w:asciiTheme="majorBidi" w:hAnsiTheme="majorBidi" w:cstheme="majorBidi"/>
              <w:noProof/>
              <w:sz w:val="24"/>
              <w:szCs w:val="24"/>
            </w:rPr>
          </w:pPr>
          <w:hyperlink w:anchor="_Toc390857853" w:history="1">
            <w:r w:rsidRPr="002130A8">
              <w:rPr>
                <w:rStyle w:val="Lienhypertexte"/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t>4.3.  Atelier de la sablerie :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_Toc390857853 \h </w:instrTex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7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271A" w:rsidRPr="002130A8" w:rsidRDefault="0031271A" w:rsidP="0031271A">
          <w:pPr>
            <w:pStyle w:val="TM2"/>
            <w:tabs>
              <w:tab w:val="right" w:leader="dot" w:pos="9628"/>
            </w:tabs>
            <w:rPr>
              <w:rFonts w:asciiTheme="majorBidi" w:hAnsiTheme="majorBidi" w:cstheme="majorBidi"/>
              <w:noProof/>
              <w:sz w:val="24"/>
              <w:szCs w:val="24"/>
            </w:rPr>
          </w:pPr>
          <w:hyperlink w:anchor="_Toc390857854" w:history="1">
            <w:r w:rsidRPr="002130A8">
              <w:rPr>
                <w:rStyle w:val="Lienhypertexte"/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t>4.4.  Atelier de parachèvement des produits moulés :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_Toc390857854 \h </w:instrTex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7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271A" w:rsidRPr="002130A8" w:rsidRDefault="0031271A" w:rsidP="0031271A">
          <w:pPr>
            <w:pStyle w:val="TM1"/>
            <w:tabs>
              <w:tab w:val="right" w:leader="dot" w:pos="9628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  <w:lang w:eastAsia="fr-FR"/>
            </w:rPr>
          </w:pPr>
          <w:hyperlink w:anchor="_Toc390857855" w:history="1">
            <w:r w:rsidRPr="002130A8">
              <w:rPr>
                <w:rStyle w:val="Lienhypertexte"/>
                <w:rFonts w:asciiTheme="majorBidi" w:hAnsiTheme="majorBidi" w:cstheme="majorBidi"/>
                <w:noProof/>
                <w:sz w:val="24"/>
                <w:szCs w:val="24"/>
              </w:rPr>
              <w:t>5. Clients et marchés d’ALFET :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_Toc390857855 \h </w:instrTex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8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271A" w:rsidRPr="002130A8" w:rsidRDefault="0031271A" w:rsidP="0031271A">
          <w:pPr>
            <w:pStyle w:val="TM1"/>
            <w:tabs>
              <w:tab w:val="right" w:leader="dot" w:pos="9628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  <w:lang w:eastAsia="fr-FR"/>
            </w:rPr>
          </w:pPr>
          <w:hyperlink w:anchor="_Toc390857856" w:history="1">
            <w:r w:rsidRPr="002130A8">
              <w:rPr>
                <w:rStyle w:val="Lienhypertexte"/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t>6. Organigramme de la filiale ALFET :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_Toc390857856 \h </w:instrTex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10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271A" w:rsidRPr="002130A8" w:rsidRDefault="0031271A" w:rsidP="0031271A">
          <w:pPr>
            <w:pStyle w:val="TM1"/>
            <w:tabs>
              <w:tab w:val="left" w:pos="440"/>
              <w:tab w:val="right" w:leader="dot" w:pos="9628"/>
            </w:tabs>
            <w:rPr>
              <w:rStyle w:val="Lienhypertexte"/>
              <w:rFonts w:asciiTheme="majorBidi" w:hAnsiTheme="majorBidi" w:cstheme="majorBidi"/>
              <w:noProof/>
              <w:sz w:val="24"/>
              <w:szCs w:val="24"/>
            </w:rPr>
          </w:pPr>
          <w:r w:rsidRPr="002130A8">
            <w:rPr>
              <w:rStyle w:val="Lienhypertexte"/>
              <w:rFonts w:asciiTheme="majorBidi" w:hAnsiTheme="majorBidi" w:cstheme="majorBidi"/>
              <w:noProof/>
              <w:sz w:val="24"/>
              <w:szCs w:val="24"/>
            </w:rPr>
            <w:t xml:space="preserve">Chapitre 2: Maitrise statistique des processus. </w:t>
          </w:r>
        </w:p>
        <w:p w:rsidR="0031271A" w:rsidRPr="002130A8" w:rsidRDefault="0031271A" w:rsidP="0031271A">
          <w:pPr>
            <w:pStyle w:val="TM1"/>
            <w:tabs>
              <w:tab w:val="left" w:pos="440"/>
              <w:tab w:val="right" w:leader="dot" w:pos="9628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  <w:lang w:eastAsia="fr-FR"/>
            </w:rPr>
          </w:pPr>
          <w:hyperlink w:anchor="_Toc390857857" w:history="1">
            <w:r w:rsidRPr="002130A8">
              <w:rPr>
                <w:rStyle w:val="Lienhypertexte"/>
                <w:rFonts w:asciiTheme="majorBidi" w:hAnsiTheme="majorBidi" w:cstheme="majorBidi"/>
                <w:noProof/>
                <w:sz w:val="24"/>
                <w:szCs w:val="24"/>
              </w:rPr>
              <w:t>1.</w:t>
            </w:r>
            <w:r w:rsidRPr="002130A8">
              <w:rPr>
                <w:rFonts w:asciiTheme="majorBidi" w:eastAsiaTheme="minorEastAsia" w:hAnsiTheme="majorBidi" w:cstheme="majorBidi"/>
                <w:noProof/>
                <w:sz w:val="24"/>
                <w:szCs w:val="24"/>
                <w:lang w:eastAsia="fr-FR"/>
              </w:rPr>
              <w:tab/>
            </w:r>
            <w:r w:rsidRPr="002130A8">
              <w:rPr>
                <w:rStyle w:val="Lienhypertexte"/>
                <w:rFonts w:asciiTheme="majorBidi" w:hAnsiTheme="majorBidi" w:cstheme="majorBidi"/>
                <w:noProof/>
                <w:sz w:val="24"/>
                <w:szCs w:val="24"/>
              </w:rPr>
              <w:t>Introduction :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_Toc390857857 \h </w:instrTex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12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271A" w:rsidRPr="002130A8" w:rsidRDefault="0031271A" w:rsidP="0031271A">
          <w:pPr>
            <w:pStyle w:val="TM1"/>
            <w:tabs>
              <w:tab w:val="right" w:leader="dot" w:pos="9628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  <w:lang w:eastAsia="fr-FR"/>
            </w:rPr>
          </w:pPr>
          <w:hyperlink w:anchor="_Toc390857858" w:history="1">
            <w:r w:rsidRPr="002130A8">
              <w:rPr>
                <w:rStyle w:val="Lienhypertexte"/>
                <w:rFonts w:asciiTheme="majorBidi" w:hAnsiTheme="majorBidi" w:cstheme="majorBidi"/>
                <w:noProof/>
                <w:sz w:val="24"/>
                <w:szCs w:val="24"/>
              </w:rPr>
              <w:t>2. Généralités sur la Maîtrise Statistique des Procédés :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_Toc390857858 \h </w:instrTex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13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271A" w:rsidRPr="002130A8" w:rsidRDefault="0031271A" w:rsidP="0031271A">
          <w:pPr>
            <w:pStyle w:val="TM2"/>
            <w:tabs>
              <w:tab w:val="right" w:leader="dot" w:pos="9628"/>
            </w:tabs>
            <w:rPr>
              <w:rFonts w:asciiTheme="majorBidi" w:hAnsiTheme="majorBidi" w:cstheme="majorBidi"/>
              <w:noProof/>
              <w:sz w:val="24"/>
              <w:szCs w:val="24"/>
            </w:rPr>
          </w:pPr>
          <w:hyperlink w:anchor="_Toc390857859" w:history="1">
            <w:r w:rsidRPr="002130A8">
              <w:rPr>
                <w:rStyle w:val="Lienhypertexte"/>
                <w:rFonts w:asciiTheme="majorBidi" w:hAnsiTheme="majorBidi" w:cstheme="majorBidi"/>
                <w:noProof/>
                <w:sz w:val="24"/>
                <w:szCs w:val="24"/>
              </w:rPr>
              <w:t>2.1. Définition d'un processus :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_Toc390857859 \h </w:instrTex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13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271A" w:rsidRPr="002130A8" w:rsidRDefault="0031271A" w:rsidP="0031271A">
          <w:pPr>
            <w:pStyle w:val="TM2"/>
            <w:tabs>
              <w:tab w:val="right" w:leader="dot" w:pos="9628"/>
            </w:tabs>
            <w:rPr>
              <w:rFonts w:asciiTheme="majorBidi" w:hAnsiTheme="majorBidi" w:cstheme="majorBidi"/>
              <w:noProof/>
              <w:sz w:val="24"/>
              <w:szCs w:val="24"/>
            </w:rPr>
          </w:pPr>
          <w:hyperlink w:anchor="_Toc390857860" w:history="1">
            <w:r w:rsidRPr="002130A8">
              <w:rPr>
                <w:rStyle w:val="Lienhypertexte"/>
                <w:rFonts w:asciiTheme="majorBidi" w:hAnsiTheme="majorBidi" w:cstheme="majorBidi"/>
                <w:noProof/>
                <w:sz w:val="24"/>
                <w:szCs w:val="24"/>
              </w:rPr>
              <w:t>2.2. Causes des défauts du produit :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_Toc390857860 \h </w:instrTex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13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271A" w:rsidRPr="002130A8" w:rsidRDefault="0031271A" w:rsidP="0031271A">
          <w:pPr>
            <w:pStyle w:val="TM2"/>
            <w:tabs>
              <w:tab w:val="right" w:leader="dot" w:pos="9628"/>
            </w:tabs>
            <w:rPr>
              <w:rFonts w:asciiTheme="majorBidi" w:hAnsiTheme="majorBidi" w:cstheme="majorBidi"/>
              <w:noProof/>
              <w:sz w:val="24"/>
              <w:szCs w:val="24"/>
            </w:rPr>
          </w:pPr>
          <w:hyperlink w:anchor="_Toc390857861" w:history="1">
            <w:r w:rsidRPr="002130A8">
              <w:rPr>
                <w:rStyle w:val="Lienhypertexte"/>
                <w:rFonts w:asciiTheme="majorBidi" w:hAnsiTheme="majorBidi" w:cstheme="majorBidi"/>
                <w:noProof/>
                <w:sz w:val="24"/>
                <w:szCs w:val="24"/>
              </w:rPr>
              <w:t>2.3. Variabilité du procédé :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_Toc390857861 \h </w:instrTex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15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271A" w:rsidRPr="002130A8" w:rsidRDefault="0031271A" w:rsidP="0031271A">
          <w:pPr>
            <w:pStyle w:val="TM3"/>
            <w:tabs>
              <w:tab w:val="left" w:pos="1320"/>
              <w:tab w:val="right" w:leader="dot" w:pos="9628"/>
            </w:tabs>
            <w:rPr>
              <w:rFonts w:asciiTheme="majorBidi" w:hAnsiTheme="majorBidi" w:cstheme="majorBidi"/>
              <w:noProof/>
              <w:sz w:val="24"/>
              <w:szCs w:val="24"/>
            </w:rPr>
          </w:pPr>
          <w:hyperlink w:anchor="_Toc390857862" w:history="1">
            <w:r w:rsidRPr="002130A8">
              <w:rPr>
                <w:rStyle w:val="Lienhypertexte"/>
                <w:rFonts w:asciiTheme="majorBidi" w:hAnsiTheme="majorBidi" w:cstheme="majorBidi"/>
                <w:noProof/>
                <w:sz w:val="24"/>
                <w:szCs w:val="24"/>
              </w:rPr>
              <w:t>2.3.1.</w:t>
            </w:r>
            <w:r w:rsidRPr="002130A8">
              <w:rPr>
                <w:rFonts w:asciiTheme="majorBidi" w:hAnsiTheme="majorBidi" w:cstheme="majorBidi"/>
                <w:noProof/>
                <w:sz w:val="24"/>
                <w:szCs w:val="24"/>
              </w:rPr>
              <w:tab/>
            </w:r>
            <w:r w:rsidRPr="002130A8">
              <w:rPr>
                <w:rStyle w:val="Lienhypertexte"/>
                <w:rFonts w:asciiTheme="majorBidi" w:hAnsiTheme="majorBidi" w:cstheme="majorBidi"/>
                <w:noProof/>
                <w:sz w:val="24"/>
                <w:szCs w:val="24"/>
              </w:rPr>
              <w:t>Causes Communes :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_Toc390857862 \h </w:instrTex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15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271A" w:rsidRPr="002130A8" w:rsidRDefault="0031271A" w:rsidP="0031271A">
          <w:pPr>
            <w:pStyle w:val="TM3"/>
            <w:tabs>
              <w:tab w:val="left" w:pos="1320"/>
              <w:tab w:val="right" w:leader="dot" w:pos="9628"/>
            </w:tabs>
            <w:rPr>
              <w:rFonts w:asciiTheme="majorBidi" w:hAnsiTheme="majorBidi" w:cstheme="majorBidi"/>
              <w:noProof/>
              <w:sz w:val="24"/>
              <w:szCs w:val="24"/>
            </w:rPr>
          </w:pPr>
          <w:hyperlink w:anchor="_Toc390857863" w:history="1">
            <w:r w:rsidRPr="002130A8">
              <w:rPr>
                <w:rStyle w:val="Lienhypertexte"/>
                <w:rFonts w:asciiTheme="majorBidi" w:hAnsiTheme="majorBidi" w:cstheme="majorBidi"/>
                <w:noProof/>
                <w:sz w:val="24"/>
                <w:szCs w:val="24"/>
              </w:rPr>
              <w:t>2.3.2.</w:t>
            </w:r>
            <w:r w:rsidRPr="002130A8">
              <w:rPr>
                <w:rFonts w:asciiTheme="majorBidi" w:hAnsiTheme="majorBidi" w:cstheme="majorBidi"/>
                <w:noProof/>
                <w:sz w:val="24"/>
                <w:szCs w:val="24"/>
              </w:rPr>
              <w:tab/>
            </w:r>
            <w:r w:rsidRPr="002130A8">
              <w:rPr>
                <w:rStyle w:val="Lienhypertexte"/>
                <w:rFonts w:asciiTheme="majorBidi" w:hAnsiTheme="majorBidi" w:cstheme="majorBidi"/>
                <w:noProof/>
                <w:sz w:val="24"/>
                <w:szCs w:val="24"/>
              </w:rPr>
              <w:t>Causes aléatoires :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_Toc390857863 \h </w:instrTex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15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271A" w:rsidRPr="002130A8" w:rsidRDefault="0031271A" w:rsidP="0031271A">
          <w:pPr>
            <w:pStyle w:val="TM3"/>
            <w:tabs>
              <w:tab w:val="left" w:pos="1320"/>
              <w:tab w:val="right" w:leader="dot" w:pos="9628"/>
            </w:tabs>
            <w:rPr>
              <w:rFonts w:asciiTheme="majorBidi" w:hAnsiTheme="majorBidi" w:cstheme="majorBidi"/>
              <w:noProof/>
              <w:sz w:val="24"/>
              <w:szCs w:val="24"/>
            </w:rPr>
          </w:pPr>
          <w:hyperlink w:anchor="_Toc390857864" w:history="1">
            <w:r w:rsidRPr="002130A8">
              <w:rPr>
                <w:rStyle w:val="Lienhypertexte"/>
                <w:rFonts w:asciiTheme="majorBidi" w:hAnsiTheme="majorBidi" w:cstheme="majorBidi"/>
                <w:noProof/>
                <w:sz w:val="24"/>
                <w:szCs w:val="24"/>
              </w:rPr>
              <w:t>2.3.3.</w:t>
            </w:r>
            <w:r w:rsidRPr="002130A8">
              <w:rPr>
                <w:rFonts w:asciiTheme="majorBidi" w:hAnsiTheme="majorBidi" w:cstheme="majorBidi"/>
                <w:noProof/>
                <w:sz w:val="24"/>
                <w:szCs w:val="24"/>
              </w:rPr>
              <w:tab/>
            </w:r>
            <w:r w:rsidRPr="002130A8">
              <w:rPr>
                <w:rStyle w:val="Lienhypertexte"/>
                <w:rFonts w:asciiTheme="majorBidi" w:hAnsiTheme="majorBidi" w:cstheme="majorBidi"/>
                <w:noProof/>
                <w:sz w:val="24"/>
                <w:szCs w:val="24"/>
              </w:rPr>
              <w:t>Causes spéciales ou assignables :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_Toc390857864 \h </w:instrTex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15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271A" w:rsidRPr="002130A8" w:rsidRDefault="0031271A" w:rsidP="0031271A">
          <w:pPr>
            <w:pStyle w:val="TM3"/>
            <w:tabs>
              <w:tab w:val="right" w:leader="dot" w:pos="9628"/>
            </w:tabs>
            <w:rPr>
              <w:rFonts w:asciiTheme="majorBidi" w:hAnsiTheme="majorBidi" w:cstheme="majorBidi"/>
              <w:noProof/>
              <w:sz w:val="24"/>
              <w:szCs w:val="24"/>
            </w:rPr>
          </w:pPr>
          <w:hyperlink w:anchor="_Toc390857865" w:history="1">
            <w:r w:rsidRPr="002130A8">
              <w:rPr>
                <w:rStyle w:val="Lienhypertexte"/>
                <w:rFonts w:asciiTheme="majorBidi" w:hAnsiTheme="majorBidi" w:cstheme="majorBidi"/>
                <w:noProof/>
                <w:sz w:val="24"/>
                <w:szCs w:val="24"/>
              </w:rPr>
              <w:t>2.3.4 Conformité des produits :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_Toc390857865 \h </w:instrTex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16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271A" w:rsidRPr="002130A8" w:rsidRDefault="0031271A" w:rsidP="0031271A">
          <w:pPr>
            <w:pStyle w:val="TM2"/>
            <w:tabs>
              <w:tab w:val="right" w:leader="dot" w:pos="9628"/>
            </w:tabs>
            <w:rPr>
              <w:rFonts w:asciiTheme="majorBidi" w:hAnsiTheme="majorBidi" w:cstheme="majorBidi"/>
              <w:noProof/>
              <w:sz w:val="24"/>
              <w:szCs w:val="24"/>
            </w:rPr>
          </w:pPr>
          <w:hyperlink w:anchor="_Toc390857866" w:history="1">
            <w:r w:rsidRPr="002130A8">
              <w:rPr>
                <w:rStyle w:val="Lienhypertexte"/>
                <w:rFonts w:asciiTheme="majorBidi" w:hAnsiTheme="majorBidi" w:cstheme="majorBidi"/>
                <w:noProof/>
                <w:sz w:val="24"/>
                <w:szCs w:val="24"/>
              </w:rPr>
              <w:t>2.4. L'Auto- contrôle :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_Toc390857866 \h </w:instrTex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17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271A" w:rsidRPr="002130A8" w:rsidRDefault="0031271A" w:rsidP="0031271A">
          <w:pPr>
            <w:pStyle w:val="TM2"/>
            <w:tabs>
              <w:tab w:val="right" w:leader="dot" w:pos="9628"/>
            </w:tabs>
            <w:rPr>
              <w:rFonts w:asciiTheme="majorBidi" w:hAnsiTheme="majorBidi" w:cstheme="majorBidi"/>
              <w:noProof/>
              <w:sz w:val="24"/>
              <w:szCs w:val="24"/>
            </w:rPr>
          </w:pPr>
          <w:hyperlink w:anchor="_Toc390857867" w:history="1">
            <w:r w:rsidRPr="002130A8">
              <w:rPr>
                <w:rStyle w:val="Lienhypertexte"/>
                <w:rFonts w:asciiTheme="majorBidi" w:hAnsiTheme="majorBidi" w:cstheme="majorBidi"/>
                <w:noProof/>
                <w:sz w:val="24"/>
                <w:szCs w:val="24"/>
              </w:rPr>
              <w:t>2.5. Intérêt de l'outil statistique :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_Toc390857867 \h </w:instrTex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17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271A" w:rsidRPr="002130A8" w:rsidRDefault="0031271A" w:rsidP="0031271A">
          <w:pPr>
            <w:pStyle w:val="TM3"/>
            <w:tabs>
              <w:tab w:val="right" w:leader="dot" w:pos="9628"/>
            </w:tabs>
            <w:rPr>
              <w:rFonts w:asciiTheme="majorBidi" w:hAnsiTheme="majorBidi" w:cstheme="majorBidi"/>
              <w:noProof/>
              <w:sz w:val="24"/>
              <w:szCs w:val="24"/>
            </w:rPr>
          </w:pPr>
          <w:hyperlink w:anchor="_Toc390857868" w:history="1">
            <w:r w:rsidRPr="002130A8">
              <w:rPr>
                <w:rStyle w:val="Lienhypertexte"/>
                <w:rFonts w:asciiTheme="majorBidi" w:hAnsiTheme="majorBidi" w:cstheme="majorBidi"/>
                <w:noProof/>
                <w:sz w:val="24"/>
                <w:szCs w:val="24"/>
              </w:rPr>
              <w:t>2.5.1. Critère économique: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_Toc390857868 \h </w:instrTex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17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271A" w:rsidRPr="002130A8" w:rsidRDefault="0031271A" w:rsidP="0031271A">
          <w:pPr>
            <w:pStyle w:val="TM3"/>
            <w:tabs>
              <w:tab w:val="right" w:leader="dot" w:pos="9628"/>
            </w:tabs>
            <w:rPr>
              <w:rFonts w:asciiTheme="majorBidi" w:hAnsiTheme="majorBidi" w:cstheme="majorBidi"/>
              <w:noProof/>
              <w:sz w:val="24"/>
              <w:szCs w:val="24"/>
            </w:rPr>
          </w:pPr>
          <w:hyperlink w:anchor="_Toc390857869" w:history="1">
            <w:r w:rsidRPr="002130A8">
              <w:rPr>
                <w:rStyle w:val="Lienhypertexte"/>
                <w:rFonts w:asciiTheme="majorBidi" w:hAnsiTheme="majorBidi" w:cstheme="majorBidi"/>
                <w:noProof/>
                <w:sz w:val="24"/>
                <w:szCs w:val="24"/>
              </w:rPr>
              <w:t>2.5.2. Critère technique: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_Toc390857869 \h </w:instrTex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17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271A" w:rsidRPr="002130A8" w:rsidRDefault="0031271A" w:rsidP="0031271A">
          <w:pPr>
            <w:pStyle w:val="TM1"/>
            <w:tabs>
              <w:tab w:val="right" w:leader="dot" w:pos="9628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  <w:lang w:eastAsia="fr-FR"/>
            </w:rPr>
          </w:pPr>
          <w:hyperlink w:anchor="_Toc390857870" w:history="1">
            <w:r w:rsidRPr="002130A8">
              <w:rPr>
                <w:rStyle w:val="Lienhypertexte"/>
                <w:rFonts w:asciiTheme="majorBidi" w:hAnsiTheme="majorBidi" w:cstheme="majorBidi"/>
                <w:noProof/>
                <w:sz w:val="24"/>
                <w:szCs w:val="24"/>
              </w:rPr>
              <w:t>3. Entre lamaîtrise statistique du procédé (MSP) et la surveillance des procédés en continu (SPC) :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_Toc390857870 \h </w:instrTex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17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271A" w:rsidRPr="002130A8" w:rsidRDefault="0031271A" w:rsidP="0031271A">
          <w:pPr>
            <w:pStyle w:val="TM2"/>
            <w:tabs>
              <w:tab w:val="right" w:leader="dot" w:pos="9628"/>
            </w:tabs>
            <w:rPr>
              <w:rFonts w:asciiTheme="majorBidi" w:hAnsiTheme="majorBidi" w:cstheme="majorBidi"/>
              <w:noProof/>
              <w:sz w:val="24"/>
              <w:szCs w:val="24"/>
            </w:rPr>
          </w:pPr>
          <w:hyperlink w:anchor="_Toc390857871" w:history="1">
            <w:r w:rsidRPr="002130A8">
              <w:rPr>
                <w:rStyle w:val="Lienhypertexte"/>
                <w:rFonts w:asciiTheme="majorBidi" w:hAnsiTheme="majorBidi" w:cstheme="majorBidi"/>
                <w:noProof/>
                <w:sz w:val="24"/>
                <w:szCs w:val="24"/>
              </w:rPr>
              <w:t>3.1. Définitions :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_Toc390857871 \h </w:instrTex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17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271A" w:rsidRPr="002130A8" w:rsidRDefault="0031271A" w:rsidP="0031271A">
          <w:pPr>
            <w:pStyle w:val="TM2"/>
            <w:tabs>
              <w:tab w:val="right" w:leader="dot" w:pos="9628"/>
            </w:tabs>
            <w:rPr>
              <w:rFonts w:asciiTheme="majorBidi" w:hAnsiTheme="majorBidi" w:cstheme="majorBidi"/>
              <w:noProof/>
              <w:sz w:val="24"/>
              <w:szCs w:val="24"/>
            </w:rPr>
          </w:pPr>
          <w:hyperlink w:anchor="_Toc390857872" w:history="1">
            <w:r w:rsidRPr="002130A8">
              <w:rPr>
                <w:rStyle w:val="Lienhypertexte"/>
                <w:rFonts w:asciiTheme="majorBidi" w:hAnsiTheme="majorBidi" w:cstheme="majorBidi"/>
                <w:noProof/>
                <w:sz w:val="24"/>
                <w:szCs w:val="24"/>
              </w:rPr>
              <w:t>3.2. Domaines d’application :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_Toc390857872 \h </w:instrTex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18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271A" w:rsidRPr="002130A8" w:rsidRDefault="0031271A" w:rsidP="0031271A">
          <w:pPr>
            <w:pStyle w:val="TM2"/>
            <w:tabs>
              <w:tab w:val="right" w:leader="dot" w:pos="9628"/>
            </w:tabs>
            <w:rPr>
              <w:rFonts w:asciiTheme="majorBidi" w:hAnsiTheme="majorBidi" w:cstheme="majorBidi"/>
              <w:noProof/>
              <w:sz w:val="24"/>
              <w:szCs w:val="24"/>
            </w:rPr>
          </w:pPr>
          <w:hyperlink w:anchor="_Toc390857873" w:history="1">
            <w:r w:rsidRPr="002130A8">
              <w:rPr>
                <w:rStyle w:val="Lienhypertexte"/>
                <w:rFonts w:asciiTheme="majorBidi" w:hAnsiTheme="majorBidi" w:cstheme="majorBidi"/>
                <w:noProof/>
                <w:sz w:val="24"/>
                <w:szCs w:val="24"/>
              </w:rPr>
              <w:t>3.3. Efficacité de la MSP :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_Toc390857873 \h </w:instrTex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18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271A" w:rsidRPr="002130A8" w:rsidRDefault="0031271A" w:rsidP="0031271A">
          <w:pPr>
            <w:pStyle w:val="TM2"/>
            <w:tabs>
              <w:tab w:val="right" w:leader="dot" w:pos="9628"/>
            </w:tabs>
            <w:rPr>
              <w:rFonts w:asciiTheme="majorBidi" w:hAnsiTheme="majorBidi" w:cstheme="majorBidi"/>
              <w:noProof/>
              <w:sz w:val="24"/>
              <w:szCs w:val="24"/>
            </w:rPr>
          </w:pPr>
          <w:hyperlink w:anchor="_Toc390857874" w:history="1">
            <w:r w:rsidRPr="002130A8">
              <w:rPr>
                <w:rStyle w:val="Lienhypertexte"/>
                <w:rFonts w:asciiTheme="majorBidi" w:hAnsiTheme="majorBidi" w:cstheme="majorBidi"/>
                <w:noProof/>
                <w:sz w:val="24"/>
                <w:szCs w:val="24"/>
              </w:rPr>
              <w:t>3.4. Caractéristiques de la MSP :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_Toc390857874 \h </w:instrTex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19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271A" w:rsidRPr="002130A8" w:rsidRDefault="0031271A" w:rsidP="0031271A">
          <w:pPr>
            <w:pStyle w:val="TM1"/>
            <w:tabs>
              <w:tab w:val="right" w:leader="dot" w:pos="9628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  <w:lang w:eastAsia="fr-FR"/>
            </w:rPr>
          </w:pPr>
          <w:hyperlink w:anchor="_Toc390857875" w:history="1">
            <w:r w:rsidRPr="002130A8">
              <w:rPr>
                <w:rStyle w:val="Lienhypertexte"/>
                <w:rFonts w:asciiTheme="majorBidi" w:hAnsiTheme="majorBidi" w:cstheme="majorBidi"/>
                <w:noProof/>
                <w:sz w:val="24"/>
                <w:szCs w:val="24"/>
              </w:rPr>
              <w:t>4. Démarche et mise en œuvre :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_Toc390857875 \h </w:instrTex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19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271A" w:rsidRPr="002130A8" w:rsidRDefault="0031271A" w:rsidP="0031271A">
          <w:pPr>
            <w:pStyle w:val="TM1"/>
            <w:tabs>
              <w:tab w:val="right" w:leader="dot" w:pos="9628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  <w:lang w:eastAsia="fr-FR"/>
            </w:rPr>
          </w:pPr>
          <w:hyperlink w:anchor="_Toc390857876" w:history="1">
            <w:r w:rsidRPr="002130A8">
              <w:rPr>
                <w:rStyle w:val="Lienhypertexte"/>
                <w:rFonts w:asciiTheme="majorBidi" w:hAnsiTheme="majorBidi" w:cstheme="majorBidi"/>
                <w:noProof/>
                <w:sz w:val="24"/>
                <w:szCs w:val="24"/>
              </w:rPr>
              <w:t>5. Les principaux outils de la MSP :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_Toc390857876 \h </w:instrTex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20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271A" w:rsidRPr="002130A8" w:rsidRDefault="0031271A" w:rsidP="0031271A">
          <w:pPr>
            <w:pStyle w:val="TM2"/>
            <w:tabs>
              <w:tab w:val="right" w:leader="dot" w:pos="9628"/>
            </w:tabs>
            <w:rPr>
              <w:rFonts w:asciiTheme="majorBidi" w:hAnsiTheme="majorBidi" w:cstheme="majorBidi"/>
              <w:noProof/>
              <w:sz w:val="24"/>
              <w:szCs w:val="24"/>
            </w:rPr>
          </w:pPr>
          <w:hyperlink w:anchor="_Toc390857877" w:history="1">
            <w:r w:rsidRPr="002130A8">
              <w:rPr>
                <w:rStyle w:val="Lienhypertexte"/>
                <w:rFonts w:asciiTheme="majorBidi" w:hAnsiTheme="majorBidi" w:cstheme="majorBidi"/>
                <w:noProof/>
                <w:sz w:val="24"/>
                <w:szCs w:val="24"/>
              </w:rPr>
              <w:t>5.1. La « loi normale » ou distribution gaussienne :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_Toc390857877 \h </w:instrTex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20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271A" w:rsidRPr="002130A8" w:rsidRDefault="0031271A" w:rsidP="0031271A">
          <w:pPr>
            <w:pStyle w:val="TM3"/>
            <w:tabs>
              <w:tab w:val="right" w:leader="dot" w:pos="9628"/>
            </w:tabs>
            <w:rPr>
              <w:rFonts w:asciiTheme="majorBidi" w:hAnsiTheme="majorBidi" w:cstheme="majorBidi"/>
              <w:noProof/>
              <w:sz w:val="24"/>
              <w:szCs w:val="24"/>
            </w:rPr>
          </w:pPr>
          <w:hyperlink w:anchor="_Toc390857878" w:history="1">
            <w:r w:rsidRPr="002130A8">
              <w:rPr>
                <w:rStyle w:val="Lienhypertexte"/>
                <w:rFonts w:asciiTheme="majorBidi" w:hAnsiTheme="majorBidi" w:cstheme="majorBidi"/>
                <w:noProof/>
                <w:sz w:val="24"/>
                <w:szCs w:val="24"/>
              </w:rPr>
              <w:t>5.1.1. La loi normale réduite: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_Toc390857878 \h </w:instrTex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21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271A" w:rsidRPr="002130A8" w:rsidRDefault="0031271A" w:rsidP="0031271A">
          <w:pPr>
            <w:pStyle w:val="TM3"/>
            <w:tabs>
              <w:tab w:val="right" w:leader="dot" w:pos="9628"/>
            </w:tabs>
            <w:rPr>
              <w:rFonts w:asciiTheme="majorBidi" w:hAnsiTheme="majorBidi" w:cstheme="majorBidi"/>
              <w:noProof/>
              <w:sz w:val="24"/>
              <w:szCs w:val="24"/>
            </w:rPr>
          </w:pPr>
          <w:hyperlink w:anchor="_Toc390857879" w:history="1">
            <w:r w:rsidRPr="002130A8">
              <w:rPr>
                <w:rStyle w:val="Lienhypertexte"/>
                <w:rFonts w:asciiTheme="majorBidi" w:hAnsiTheme="majorBidi" w:cstheme="majorBidi"/>
                <w:noProof/>
                <w:sz w:val="24"/>
                <w:szCs w:val="24"/>
              </w:rPr>
              <w:t>5.1.2. Conditions d'obtention d'une distribution normale :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_Toc390857879 \h </w:instrTex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22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271A" w:rsidRPr="002130A8" w:rsidRDefault="0031271A" w:rsidP="0031271A">
          <w:pPr>
            <w:pStyle w:val="TM3"/>
            <w:tabs>
              <w:tab w:val="right" w:leader="dot" w:pos="9628"/>
            </w:tabs>
            <w:rPr>
              <w:rFonts w:asciiTheme="majorBidi" w:hAnsiTheme="majorBidi" w:cstheme="majorBidi"/>
              <w:noProof/>
              <w:sz w:val="24"/>
              <w:szCs w:val="24"/>
            </w:rPr>
          </w:pPr>
          <w:hyperlink w:anchor="_Toc390857880" w:history="1">
            <w:r w:rsidRPr="002130A8">
              <w:rPr>
                <w:rStyle w:val="Lienhypertexte"/>
                <w:rFonts w:asciiTheme="majorBidi" w:hAnsiTheme="majorBidi" w:cstheme="majorBidi"/>
                <w:noProof/>
                <w:sz w:val="24"/>
                <w:szCs w:val="24"/>
              </w:rPr>
              <w:t>5.1.3. Comparaison de l'intervalle de tolérance à la dispersion du processus :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_Toc390857880 \h </w:instrTex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23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271A" w:rsidRPr="002130A8" w:rsidRDefault="0031271A" w:rsidP="0031271A">
          <w:pPr>
            <w:pStyle w:val="TM2"/>
            <w:tabs>
              <w:tab w:val="right" w:leader="dot" w:pos="9628"/>
            </w:tabs>
            <w:rPr>
              <w:rFonts w:asciiTheme="majorBidi" w:hAnsiTheme="majorBidi" w:cstheme="majorBidi"/>
              <w:noProof/>
              <w:sz w:val="24"/>
              <w:szCs w:val="24"/>
            </w:rPr>
          </w:pPr>
          <w:hyperlink w:anchor="_Toc390857881" w:history="1">
            <w:r w:rsidRPr="002130A8">
              <w:rPr>
                <w:rStyle w:val="Lienhypertexte"/>
                <w:rFonts w:asciiTheme="majorBidi" w:hAnsiTheme="majorBidi" w:cstheme="majorBidi"/>
                <w:noProof/>
                <w:sz w:val="24"/>
                <w:szCs w:val="24"/>
              </w:rPr>
              <w:t>5.2. La carte de contrôle :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_Toc390857881 \h </w:instrTex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26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271A" w:rsidRPr="002130A8" w:rsidRDefault="0031271A" w:rsidP="0031271A">
          <w:pPr>
            <w:pStyle w:val="TM3"/>
            <w:tabs>
              <w:tab w:val="right" w:leader="dot" w:pos="9628"/>
            </w:tabs>
            <w:rPr>
              <w:rFonts w:asciiTheme="majorBidi" w:hAnsiTheme="majorBidi" w:cstheme="majorBidi"/>
              <w:noProof/>
              <w:sz w:val="24"/>
              <w:szCs w:val="24"/>
            </w:rPr>
          </w:pPr>
          <w:hyperlink w:anchor="_Toc390857882" w:history="1">
            <w:r w:rsidRPr="002130A8">
              <w:rPr>
                <w:rStyle w:val="Lienhypertexte"/>
                <w:rFonts w:asciiTheme="majorBidi" w:hAnsiTheme="majorBidi" w:cstheme="majorBidi"/>
                <w:noProof/>
                <w:sz w:val="24"/>
                <w:szCs w:val="24"/>
              </w:rPr>
              <w:t>5.2.1. Définition :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_Toc390857882 \h </w:instrTex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26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271A" w:rsidRPr="002130A8" w:rsidRDefault="0031271A" w:rsidP="0031271A">
          <w:pPr>
            <w:pStyle w:val="TM3"/>
            <w:tabs>
              <w:tab w:val="right" w:leader="dot" w:pos="9628"/>
            </w:tabs>
            <w:rPr>
              <w:rFonts w:asciiTheme="majorBidi" w:hAnsiTheme="majorBidi" w:cstheme="majorBidi"/>
              <w:noProof/>
              <w:sz w:val="24"/>
              <w:szCs w:val="24"/>
            </w:rPr>
          </w:pPr>
          <w:hyperlink w:anchor="_Toc390857883" w:history="1">
            <w:r w:rsidRPr="002130A8">
              <w:rPr>
                <w:rStyle w:val="Lienhypertexte"/>
                <w:rFonts w:asciiTheme="majorBidi" w:hAnsiTheme="majorBidi" w:cstheme="majorBidi"/>
                <w:noProof/>
                <w:sz w:val="24"/>
                <w:szCs w:val="24"/>
              </w:rPr>
              <w:t>5.2.2. Procédure :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_Toc390857883 \h </w:instrTex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26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271A" w:rsidRPr="002130A8" w:rsidRDefault="0031271A" w:rsidP="0031271A">
          <w:pPr>
            <w:pStyle w:val="TM3"/>
            <w:tabs>
              <w:tab w:val="right" w:leader="dot" w:pos="9628"/>
            </w:tabs>
            <w:rPr>
              <w:rFonts w:asciiTheme="majorBidi" w:hAnsiTheme="majorBidi" w:cstheme="majorBidi"/>
              <w:noProof/>
              <w:sz w:val="24"/>
              <w:szCs w:val="24"/>
            </w:rPr>
          </w:pPr>
          <w:hyperlink w:anchor="_Toc390857884" w:history="1">
            <w:r w:rsidRPr="002130A8">
              <w:rPr>
                <w:rStyle w:val="Lienhypertexte"/>
                <w:rFonts w:asciiTheme="majorBidi" w:hAnsiTheme="majorBidi" w:cstheme="majorBidi"/>
                <w:noProof/>
                <w:sz w:val="24"/>
                <w:szCs w:val="24"/>
              </w:rPr>
              <w:t>5.2.3. Composition de carte de contrôle :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_Toc390857884 \h </w:instrTex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27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271A" w:rsidRPr="002130A8" w:rsidRDefault="0031271A" w:rsidP="0031271A">
          <w:pPr>
            <w:pStyle w:val="TM3"/>
            <w:tabs>
              <w:tab w:val="right" w:leader="dot" w:pos="9628"/>
            </w:tabs>
            <w:rPr>
              <w:rFonts w:asciiTheme="majorBidi" w:hAnsiTheme="majorBidi" w:cstheme="majorBidi"/>
              <w:noProof/>
              <w:sz w:val="24"/>
              <w:szCs w:val="24"/>
            </w:rPr>
          </w:pPr>
          <w:hyperlink w:anchor="_Toc390857885" w:history="1">
            <w:r w:rsidRPr="002130A8">
              <w:rPr>
                <w:rStyle w:val="Lienhypertexte"/>
                <w:rFonts w:asciiTheme="majorBidi" w:hAnsiTheme="majorBidi" w:cstheme="majorBidi"/>
                <w:noProof/>
                <w:sz w:val="24"/>
                <w:szCs w:val="24"/>
              </w:rPr>
              <w:t>5.2.4. Exemple d’une carte de contrôle :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_Toc390857885 \h </w:instrTex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28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271A" w:rsidRPr="002130A8" w:rsidRDefault="0031271A" w:rsidP="0031271A">
          <w:pPr>
            <w:pStyle w:val="TM3"/>
            <w:tabs>
              <w:tab w:val="right" w:leader="dot" w:pos="9628"/>
            </w:tabs>
            <w:rPr>
              <w:rFonts w:asciiTheme="majorBidi" w:hAnsiTheme="majorBidi" w:cstheme="majorBidi"/>
              <w:noProof/>
              <w:sz w:val="24"/>
              <w:szCs w:val="24"/>
            </w:rPr>
          </w:pPr>
          <w:hyperlink w:anchor="_Toc390857886" w:history="1">
            <w:r w:rsidRPr="002130A8">
              <w:rPr>
                <w:rStyle w:val="Lienhypertexte"/>
                <w:rFonts w:asciiTheme="majorBidi" w:hAnsiTheme="majorBidi" w:cstheme="majorBidi"/>
                <w:noProof/>
                <w:sz w:val="24"/>
                <w:szCs w:val="24"/>
              </w:rPr>
              <w:t>5.2.5. L’organisation et le suivi du processus de production :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_Toc390857886 \h </w:instrTex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29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271A" w:rsidRPr="002130A8" w:rsidRDefault="0031271A" w:rsidP="0031271A">
          <w:pPr>
            <w:pStyle w:val="TM3"/>
            <w:tabs>
              <w:tab w:val="right" w:leader="dot" w:pos="9628"/>
            </w:tabs>
            <w:rPr>
              <w:rFonts w:asciiTheme="majorBidi" w:hAnsiTheme="majorBidi" w:cstheme="majorBidi"/>
              <w:noProof/>
              <w:sz w:val="24"/>
              <w:szCs w:val="24"/>
            </w:rPr>
          </w:pPr>
          <w:hyperlink w:anchor="_Toc390857887" w:history="1">
            <w:r w:rsidRPr="002130A8">
              <w:rPr>
                <w:rStyle w:val="Lienhypertexte"/>
                <w:rFonts w:asciiTheme="majorBidi" w:hAnsiTheme="majorBidi" w:cstheme="majorBidi"/>
                <w:noProof/>
                <w:sz w:val="24"/>
                <w:szCs w:val="24"/>
              </w:rPr>
              <w:t>5.2.6. Calcul des limites :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_Toc390857887 \h </w:instrTex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30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271A" w:rsidRPr="002130A8" w:rsidRDefault="0031271A" w:rsidP="0031271A">
          <w:pPr>
            <w:pStyle w:val="TM2"/>
            <w:tabs>
              <w:tab w:val="right" w:leader="dot" w:pos="9628"/>
            </w:tabs>
            <w:rPr>
              <w:rFonts w:asciiTheme="majorBidi" w:hAnsiTheme="majorBidi" w:cstheme="majorBidi"/>
              <w:noProof/>
              <w:sz w:val="24"/>
              <w:szCs w:val="24"/>
            </w:rPr>
          </w:pPr>
          <w:hyperlink w:anchor="_Toc390857888" w:history="1">
            <w:r w:rsidRPr="002130A8">
              <w:rPr>
                <w:rStyle w:val="Lienhypertexte"/>
                <w:rFonts w:asciiTheme="majorBidi" w:hAnsiTheme="majorBidi" w:cstheme="majorBidi"/>
                <w:noProof/>
                <w:sz w:val="24"/>
                <w:szCs w:val="24"/>
              </w:rPr>
              <w:t>5.3. Les CAPABILITES :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_Toc390857888 \h </w:instrTex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33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271A" w:rsidRPr="002130A8" w:rsidRDefault="0031271A" w:rsidP="0031271A">
          <w:pPr>
            <w:pStyle w:val="TM3"/>
            <w:tabs>
              <w:tab w:val="right" w:leader="dot" w:pos="9628"/>
            </w:tabs>
            <w:rPr>
              <w:rFonts w:asciiTheme="majorBidi" w:hAnsiTheme="majorBidi" w:cstheme="majorBidi"/>
              <w:noProof/>
              <w:sz w:val="24"/>
              <w:szCs w:val="24"/>
            </w:rPr>
          </w:pPr>
          <w:hyperlink w:anchor="_Toc390857889" w:history="1">
            <w:r w:rsidRPr="002130A8">
              <w:rPr>
                <w:rStyle w:val="Lienhypertexte"/>
                <w:rFonts w:asciiTheme="majorBidi" w:hAnsiTheme="majorBidi" w:cstheme="majorBidi"/>
                <w:noProof/>
                <w:sz w:val="24"/>
                <w:szCs w:val="24"/>
              </w:rPr>
              <w:t>5.3.1. CAPABILITES machine : Cm et Cmk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_Toc390857889 \h </w:instrTex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33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271A" w:rsidRPr="002130A8" w:rsidRDefault="0031271A" w:rsidP="0031271A">
          <w:pPr>
            <w:pStyle w:val="TM3"/>
            <w:tabs>
              <w:tab w:val="right" w:leader="dot" w:pos="9628"/>
            </w:tabs>
            <w:rPr>
              <w:rFonts w:asciiTheme="majorBidi" w:hAnsiTheme="majorBidi" w:cstheme="majorBidi"/>
              <w:noProof/>
              <w:sz w:val="24"/>
              <w:szCs w:val="24"/>
            </w:rPr>
          </w:pPr>
          <w:hyperlink w:anchor="_Toc390857890" w:history="1">
            <w:r w:rsidRPr="002130A8">
              <w:rPr>
                <w:rStyle w:val="Lienhypertexte"/>
                <w:rFonts w:asciiTheme="majorBidi" w:hAnsiTheme="majorBidi" w:cstheme="majorBidi"/>
                <w:noProof/>
                <w:sz w:val="24"/>
                <w:szCs w:val="24"/>
              </w:rPr>
              <w:t>5.3.2. CAPABILITE procédé : Cp et Cpk: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_Toc390857890 \h </w:instrTex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34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271A" w:rsidRPr="002130A8" w:rsidRDefault="0031271A" w:rsidP="0031271A">
          <w:pPr>
            <w:pStyle w:val="TM3"/>
            <w:tabs>
              <w:tab w:val="right" w:leader="dot" w:pos="9628"/>
            </w:tabs>
            <w:rPr>
              <w:rFonts w:asciiTheme="majorBidi" w:hAnsiTheme="majorBidi" w:cstheme="majorBidi"/>
              <w:noProof/>
              <w:sz w:val="24"/>
              <w:szCs w:val="24"/>
            </w:rPr>
          </w:pPr>
          <w:hyperlink w:anchor="_Toc390857891" w:history="1">
            <w:r w:rsidRPr="002130A8">
              <w:rPr>
                <w:rStyle w:val="Lienhypertexte"/>
                <w:rFonts w:asciiTheme="majorBidi" w:hAnsiTheme="majorBidi" w:cstheme="majorBidi"/>
                <w:noProof/>
                <w:sz w:val="24"/>
                <w:szCs w:val="24"/>
              </w:rPr>
              <w:t>5.3.3 Graphe de décision :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_Toc390857891 \h </w:instrTex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35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271A" w:rsidRPr="002130A8" w:rsidRDefault="0031271A" w:rsidP="0031271A">
          <w:pPr>
            <w:pStyle w:val="TM3"/>
            <w:tabs>
              <w:tab w:val="right" w:leader="dot" w:pos="9628"/>
            </w:tabs>
            <w:rPr>
              <w:rFonts w:asciiTheme="majorBidi" w:hAnsiTheme="majorBidi" w:cstheme="majorBidi"/>
              <w:noProof/>
              <w:sz w:val="24"/>
              <w:szCs w:val="24"/>
            </w:rPr>
          </w:pPr>
          <w:hyperlink w:anchor="_Toc390857892" w:history="1">
            <w:r w:rsidRPr="002130A8">
              <w:rPr>
                <w:rStyle w:val="Lienhypertexte"/>
                <w:rFonts w:asciiTheme="majorBidi" w:hAnsiTheme="majorBidi" w:cstheme="majorBidi"/>
                <w:noProof/>
                <w:sz w:val="24"/>
                <w:szCs w:val="24"/>
              </w:rPr>
              <w:t>5.4.1.Méthode préconisée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_Toc390857892 \h </w:instrTex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36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271A" w:rsidRPr="002130A8" w:rsidRDefault="0031271A" w:rsidP="0031271A">
          <w:pPr>
            <w:pStyle w:val="TM3"/>
            <w:tabs>
              <w:tab w:val="right" w:leader="dot" w:pos="9628"/>
            </w:tabs>
            <w:rPr>
              <w:rFonts w:asciiTheme="majorBidi" w:hAnsiTheme="majorBidi" w:cstheme="majorBidi"/>
              <w:noProof/>
              <w:sz w:val="24"/>
              <w:szCs w:val="24"/>
            </w:rPr>
          </w:pPr>
          <w:hyperlink w:anchor="_Toc390857893" w:history="1">
            <w:r w:rsidRPr="002130A8">
              <w:rPr>
                <w:rStyle w:val="Lienhypertexte"/>
                <w:rFonts w:asciiTheme="majorBidi" w:hAnsiTheme="majorBidi" w:cstheme="majorBidi"/>
                <w:noProof/>
                <w:sz w:val="24"/>
                <w:szCs w:val="24"/>
              </w:rPr>
              <w:t>5.4.2 Appréciation graphique de l’histogramme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_Toc390857893 \h </w:instrTex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37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271A" w:rsidRPr="002130A8" w:rsidRDefault="0031271A" w:rsidP="0031271A">
          <w:pPr>
            <w:pStyle w:val="TM1"/>
            <w:tabs>
              <w:tab w:val="left" w:pos="440"/>
              <w:tab w:val="right" w:leader="dot" w:pos="9628"/>
            </w:tabs>
            <w:rPr>
              <w:rStyle w:val="Lienhypertexte"/>
              <w:rFonts w:asciiTheme="majorBidi" w:hAnsiTheme="majorBidi" w:cstheme="majorBidi"/>
              <w:noProof/>
              <w:sz w:val="24"/>
              <w:szCs w:val="24"/>
            </w:rPr>
          </w:pPr>
          <w:r w:rsidRPr="002130A8">
            <w:rPr>
              <w:rStyle w:val="Lienhypertexte"/>
              <w:rFonts w:asciiTheme="majorBidi" w:hAnsiTheme="majorBidi" w:cstheme="majorBidi"/>
              <w:noProof/>
              <w:sz w:val="24"/>
              <w:szCs w:val="24"/>
            </w:rPr>
            <w:t>Chapitre 3: Aplication de la MSP sur une chaine de production.</w:t>
          </w:r>
        </w:p>
        <w:p w:rsidR="0031271A" w:rsidRPr="002130A8" w:rsidRDefault="0031271A" w:rsidP="0031271A">
          <w:pPr>
            <w:pStyle w:val="TM1"/>
            <w:tabs>
              <w:tab w:val="left" w:pos="440"/>
              <w:tab w:val="right" w:leader="dot" w:pos="9628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  <w:lang w:eastAsia="fr-FR"/>
            </w:rPr>
          </w:pPr>
          <w:hyperlink w:anchor="_Toc390857894" w:history="1">
            <w:r w:rsidRPr="002130A8">
              <w:rPr>
                <w:rStyle w:val="Lienhypertexte"/>
                <w:rFonts w:asciiTheme="majorBidi" w:hAnsiTheme="majorBidi" w:cstheme="majorBidi"/>
                <w:noProof/>
                <w:sz w:val="24"/>
                <w:szCs w:val="24"/>
              </w:rPr>
              <w:t>1.</w:t>
            </w:r>
            <w:r w:rsidRPr="002130A8">
              <w:rPr>
                <w:rFonts w:asciiTheme="majorBidi" w:eastAsiaTheme="minorEastAsia" w:hAnsiTheme="majorBidi" w:cstheme="majorBidi"/>
                <w:noProof/>
                <w:sz w:val="24"/>
                <w:szCs w:val="24"/>
                <w:lang w:eastAsia="fr-FR"/>
              </w:rPr>
              <w:tab/>
            </w:r>
            <w:r w:rsidRPr="002130A8">
              <w:rPr>
                <w:rStyle w:val="Lienhypertexte"/>
                <w:rFonts w:asciiTheme="majorBidi" w:hAnsiTheme="majorBidi" w:cstheme="majorBidi"/>
                <w:noProof/>
                <w:sz w:val="24"/>
                <w:szCs w:val="24"/>
              </w:rPr>
              <w:t>Introduction :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_Toc390857894 \h </w:instrTex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39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271A" w:rsidRPr="002130A8" w:rsidRDefault="0031271A" w:rsidP="0031271A">
          <w:pPr>
            <w:pStyle w:val="TM1"/>
            <w:tabs>
              <w:tab w:val="left" w:pos="440"/>
              <w:tab w:val="right" w:leader="dot" w:pos="9628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  <w:lang w:eastAsia="fr-FR"/>
            </w:rPr>
          </w:pPr>
          <w:hyperlink w:anchor="_Toc390857895" w:history="1">
            <w:r w:rsidRPr="002130A8">
              <w:rPr>
                <w:rStyle w:val="Lienhypertexte"/>
                <w:rFonts w:asciiTheme="majorBidi" w:hAnsiTheme="majorBidi" w:cstheme="majorBidi"/>
                <w:noProof/>
                <w:sz w:val="24"/>
                <w:szCs w:val="24"/>
              </w:rPr>
              <w:t>2.</w:t>
            </w:r>
            <w:r w:rsidRPr="002130A8">
              <w:rPr>
                <w:rFonts w:asciiTheme="majorBidi" w:eastAsiaTheme="minorEastAsia" w:hAnsiTheme="majorBidi" w:cstheme="majorBidi"/>
                <w:noProof/>
                <w:sz w:val="24"/>
                <w:szCs w:val="24"/>
                <w:lang w:eastAsia="fr-FR"/>
              </w:rPr>
              <w:tab/>
            </w:r>
            <w:r w:rsidRPr="002130A8">
              <w:rPr>
                <w:rStyle w:val="Lienhypertexte"/>
                <w:rFonts w:asciiTheme="majorBidi" w:hAnsiTheme="majorBidi" w:cstheme="majorBidi"/>
                <w:noProof/>
                <w:sz w:val="24"/>
                <w:szCs w:val="24"/>
              </w:rPr>
              <w:t>Le boulet de broyage :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_Toc390857895 \h </w:instrTex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39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271A" w:rsidRPr="002130A8" w:rsidRDefault="0031271A" w:rsidP="0031271A">
          <w:pPr>
            <w:pStyle w:val="TM1"/>
            <w:tabs>
              <w:tab w:val="left" w:pos="440"/>
              <w:tab w:val="right" w:leader="dot" w:pos="9628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  <w:lang w:eastAsia="fr-FR"/>
            </w:rPr>
          </w:pPr>
          <w:hyperlink w:anchor="_Toc390857896" w:history="1">
            <w:r w:rsidRPr="002130A8">
              <w:rPr>
                <w:rStyle w:val="Lienhypertexte"/>
                <w:rFonts w:asciiTheme="majorBidi" w:hAnsiTheme="majorBidi" w:cstheme="majorBidi"/>
                <w:noProof/>
                <w:sz w:val="24"/>
                <w:szCs w:val="24"/>
              </w:rPr>
              <w:t>3.</w:t>
            </w:r>
            <w:r w:rsidRPr="002130A8">
              <w:rPr>
                <w:rFonts w:asciiTheme="majorBidi" w:eastAsiaTheme="minorEastAsia" w:hAnsiTheme="majorBidi" w:cstheme="majorBidi"/>
                <w:noProof/>
                <w:sz w:val="24"/>
                <w:szCs w:val="24"/>
                <w:lang w:eastAsia="fr-FR"/>
              </w:rPr>
              <w:tab/>
            </w:r>
            <w:r w:rsidRPr="002130A8">
              <w:rPr>
                <w:rStyle w:val="Lienhypertexte"/>
                <w:rFonts w:asciiTheme="majorBidi" w:hAnsiTheme="majorBidi" w:cstheme="majorBidi"/>
                <w:noProof/>
                <w:sz w:val="24"/>
                <w:szCs w:val="24"/>
              </w:rPr>
              <w:t>Application de la MSP sur le boulet de broyage: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_Toc390857896 \h </w:instrTex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39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271A" w:rsidRPr="002130A8" w:rsidRDefault="0031271A" w:rsidP="0031271A">
          <w:pPr>
            <w:pStyle w:val="TM2"/>
            <w:tabs>
              <w:tab w:val="left" w:pos="880"/>
              <w:tab w:val="right" w:leader="dot" w:pos="9628"/>
            </w:tabs>
            <w:rPr>
              <w:rFonts w:asciiTheme="majorBidi" w:hAnsiTheme="majorBidi" w:cstheme="majorBidi"/>
              <w:noProof/>
              <w:sz w:val="24"/>
              <w:szCs w:val="24"/>
            </w:rPr>
          </w:pPr>
          <w:hyperlink w:anchor="_Toc390857897" w:history="1">
            <w:r w:rsidRPr="002130A8">
              <w:rPr>
                <w:rStyle w:val="Lienhypertexte"/>
                <w:rFonts w:asciiTheme="majorBidi" w:hAnsiTheme="majorBidi" w:cstheme="majorBidi"/>
                <w:noProof/>
                <w:sz w:val="24"/>
                <w:szCs w:val="24"/>
              </w:rPr>
              <w:t>3.1.</w:t>
            </w:r>
            <w:r w:rsidRPr="002130A8">
              <w:rPr>
                <w:rFonts w:asciiTheme="majorBidi" w:hAnsiTheme="majorBidi" w:cstheme="majorBidi"/>
                <w:noProof/>
                <w:sz w:val="24"/>
                <w:szCs w:val="24"/>
              </w:rPr>
              <w:tab/>
            </w:r>
            <w:r w:rsidRPr="002130A8">
              <w:rPr>
                <w:rStyle w:val="Lienhypertexte"/>
                <w:rFonts w:asciiTheme="majorBidi" w:hAnsiTheme="majorBidi" w:cstheme="majorBidi"/>
                <w:noProof/>
                <w:sz w:val="24"/>
                <w:szCs w:val="24"/>
              </w:rPr>
              <w:t>Opération de prélèvement: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_Toc390857897 \h </w:instrTex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40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271A" w:rsidRPr="002130A8" w:rsidRDefault="0031271A" w:rsidP="0031271A">
          <w:pPr>
            <w:pStyle w:val="TM2"/>
            <w:tabs>
              <w:tab w:val="right" w:leader="dot" w:pos="9628"/>
            </w:tabs>
            <w:rPr>
              <w:rFonts w:asciiTheme="majorBidi" w:hAnsiTheme="majorBidi" w:cstheme="majorBidi"/>
              <w:noProof/>
              <w:sz w:val="24"/>
              <w:szCs w:val="24"/>
            </w:rPr>
          </w:pPr>
          <w:hyperlink w:anchor="_Toc390857898" w:history="1">
            <w:r w:rsidRPr="002130A8">
              <w:rPr>
                <w:rStyle w:val="Lienhypertexte"/>
                <w:rFonts w:asciiTheme="majorBidi" w:hAnsiTheme="majorBidi" w:cstheme="majorBidi"/>
                <w:noProof/>
                <w:sz w:val="24"/>
                <w:szCs w:val="24"/>
              </w:rPr>
              <w:t>3.2. Prise de mesure :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_Toc390857898 \h </w:instrTex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40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271A" w:rsidRPr="002130A8" w:rsidRDefault="0031271A" w:rsidP="0031271A">
          <w:pPr>
            <w:pStyle w:val="TM2"/>
            <w:tabs>
              <w:tab w:val="right" w:leader="dot" w:pos="9628"/>
            </w:tabs>
            <w:rPr>
              <w:rFonts w:asciiTheme="majorBidi" w:hAnsiTheme="majorBidi" w:cstheme="majorBidi"/>
              <w:noProof/>
              <w:sz w:val="24"/>
              <w:szCs w:val="24"/>
            </w:rPr>
          </w:pPr>
          <w:hyperlink w:anchor="_Toc390857899" w:history="1">
            <w:r w:rsidRPr="002130A8">
              <w:rPr>
                <w:rStyle w:val="Lienhypertexte"/>
                <w:rFonts w:asciiTheme="majorBidi" w:hAnsiTheme="majorBidi" w:cstheme="majorBidi"/>
                <w:noProof/>
                <w:sz w:val="24"/>
                <w:szCs w:val="24"/>
              </w:rPr>
              <w:t>3.3. Analyse de la variabilité  par L’histogramme des fréquences.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_Toc390857899 \h </w:instrTex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42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271A" w:rsidRPr="002130A8" w:rsidRDefault="0031271A" w:rsidP="0031271A">
          <w:pPr>
            <w:pStyle w:val="TM2"/>
            <w:tabs>
              <w:tab w:val="right" w:leader="dot" w:pos="9628"/>
            </w:tabs>
            <w:rPr>
              <w:rFonts w:asciiTheme="majorBidi" w:hAnsiTheme="majorBidi" w:cstheme="majorBidi"/>
              <w:noProof/>
              <w:sz w:val="24"/>
              <w:szCs w:val="24"/>
            </w:rPr>
          </w:pPr>
          <w:hyperlink w:anchor="_Toc390857900" w:history="1">
            <w:r w:rsidRPr="002130A8">
              <w:rPr>
                <w:rStyle w:val="Lienhypertexte"/>
                <w:rFonts w:asciiTheme="majorBidi" w:hAnsiTheme="majorBidi" w:cstheme="majorBidi"/>
                <w:noProof/>
                <w:sz w:val="24"/>
                <w:szCs w:val="24"/>
              </w:rPr>
              <w:t xml:space="preserve">3.4 Le test du X² (chi </w:t>
            </w:r>
            <w:r w:rsidRPr="002130A8">
              <w:rPr>
                <w:rStyle w:val="Lienhypertexte"/>
                <w:rFonts w:asciiTheme="majorBidi" w:hAnsiTheme="majorBidi" w:cstheme="majorBidi"/>
                <w:noProof/>
                <w:sz w:val="24"/>
                <w:szCs w:val="24"/>
                <w:vertAlign w:val="superscript"/>
              </w:rPr>
              <w:t>2</w:t>
            </w:r>
            <w:r w:rsidRPr="002130A8">
              <w:rPr>
                <w:rStyle w:val="Lienhypertexte"/>
                <w:rFonts w:asciiTheme="majorBidi" w:hAnsiTheme="majorBidi" w:cstheme="majorBidi"/>
                <w:noProof/>
                <w:sz w:val="24"/>
                <w:szCs w:val="24"/>
              </w:rPr>
              <w:t xml:space="preserve"> qui se prononce « ki deux »).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_Toc390857900 \h </w:instrTex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45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271A" w:rsidRPr="002130A8" w:rsidRDefault="0031271A" w:rsidP="0031271A">
          <w:pPr>
            <w:pStyle w:val="TM3"/>
            <w:tabs>
              <w:tab w:val="right" w:leader="dot" w:pos="9628"/>
            </w:tabs>
            <w:rPr>
              <w:rFonts w:asciiTheme="majorBidi" w:hAnsiTheme="majorBidi" w:cstheme="majorBidi"/>
              <w:noProof/>
              <w:sz w:val="24"/>
              <w:szCs w:val="24"/>
            </w:rPr>
          </w:pPr>
          <w:hyperlink w:anchor="_Toc390857901" w:history="1">
            <w:r w:rsidRPr="002130A8">
              <w:rPr>
                <w:rStyle w:val="Lienhypertexte"/>
                <w:rFonts w:asciiTheme="majorBidi" w:hAnsiTheme="majorBidi" w:cstheme="majorBidi"/>
                <w:noProof/>
                <w:sz w:val="24"/>
                <w:szCs w:val="24"/>
              </w:rPr>
              <w:t>3.4.1. Principe du test X²: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_Toc390857901 \h </w:instrTex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45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271A" w:rsidRPr="002130A8" w:rsidRDefault="0031271A" w:rsidP="0031271A">
          <w:pPr>
            <w:pStyle w:val="TM3"/>
            <w:tabs>
              <w:tab w:val="right" w:leader="dot" w:pos="9628"/>
            </w:tabs>
            <w:rPr>
              <w:rFonts w:asciiTheme="majorBidi" w:hAnsiTheme="majorBidi" w:cstheme="majorBidi"/>
              <w:noProof/>
              <w:sz w:val="24"/>
              <w:szCs w:val="24"/>
            </w:rPr>
          </w:pPr>
          <w:hyperlink w:anchor="_Toc390857902" w:history="1">
            <w:r w:rsidRPr="002130A8">
              <w:rPr>
                <w:rStyle w:val="Lienhypertexte"/>
                <w:rFonts w:asciiTheme="majorBidi" w:hAnsiTheme="majorBidi" w:cstheme="majorBidi"/>
                <w:noProof/>
                <w:sz w:val="24"/>
                <w:szCs w:val="24"/>
              </w:rPr>
              <w:t>3.4.2.Mise en œuvre du test X² :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_Toc390857902 \h </w:instrTex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45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271A" w:rsidRPr="002130A8" w:rsidRDefault="0031271A" w:rsidP="0031271A">
          <w:pPr>
            <w:pStyle w:val="TM2"/>
            <w:tabs>
              <w:tab w:val="right" w:leader="dot" w:pos="9628"/>
            </w:tabs>
            <w:rPr>
              <w:rFonts w:asciiTheme="majorBidi" w:hAnsiTheme="majorBidi" w:cstheme="majorBidi"/>
              <w:noProof/>
              <w:sz w:val="24"/>
              <w:szCs w:val="24"/>
            </w:rPr>
          </w:pPr>
          <w:hyperlink w:anchor="_Toc390857903" w:history="1">
            <w:r w:rsidRPr="002130A8">
              <w:rPr>
                <w:rStyle w:val="Lienhypertexte"/>
                <w:rFonts w:asciiTheme="majorBidi" w:hAnsiTheme="majorBidi" w:cstheme="majorBidi"/>
                <w:noProof/>
                <w:sz w:val="24"/>
                <w:szCs w:val="24"/>
              </w:rPr>
              <w:t>3.5.Interprétation dans la carte de contrôle :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_Toc390857903 \h </w:instrTex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48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271A" w:rsidRPr="002130A8" w:rsidRDefault="0031271A" w:rsidP="0031271A">
          <w:pPr>
            <w:pStyle w:val="TM2"/>
            <w:tabs>
              <w:tab w:val="right" w:leader="dot" w:pos="9628"/>
            </w:tabs>
            <w:rPr>
              <w:rFonts w:asciiTheme="majorBidi" w:hAnsiTheme="majorBidi" w:cstheme="majorBidi"/>
              <w:noProof/>
              <w:sz w:val="24"/>
              <w:szCs w:val="24"/>
            </w:rPr>
          </w:pPr>
          <w:hyperlink w:anchor="_Toc390857904" w:history="1">
            <w:r w:rsidRPr="002130A8">
              <w:rPr>
                <w:rStyle w:val="Lienhypertexte"/>
                <w:rFonts w:asciiTheme="majorBidi" w:hAnsiTheme="majorBidi" w:cstheme="majorBidi"/>
                <w:noProof/>
                <w:sz w:val="24"/>
                <w:szCs w:val="24"/>
              </w:rPr>
              <w:t>3.6.L’indice de CAPABILITE Cp :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_Toc390857904 \h </w:instrTex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49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271A" w:rsidRPr="002130A8" w:rsidRDefault="0031271A" w:rsidP="0031271A">
          <w:pPr>
            <w:pStyle w:val="TM1"/>
            <w:tabs>
              <w:tab w:val="right" w:leader="dot" w:pos="9628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  <w:lang w:eastAsia="fr-FR"/>
            </w:rPr>
          </w:pPr>
          <w:hyperlink w:anchor="_Toc390857905" w:history="1">
            <w:r w:rsidRPr="002130A8">
              <w:rPr>
                <w:rStyle w:val="Lienhypertexte"/>
                <w:rFonts w:asciiTheme="majorBidi" w:hAnsiTheme="majorBidi" w:cstheme="majorBidi"/>
                <w:noProof/>
                <w:sz w:val="24"/>
                <w:szCs w:val="24"/>
              </w:rPr>
              <w:t>Conclusion générale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_Toc390857905 \h </w:instrTex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51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271A" w:rsidRPr="002130A8" w:rsidRDefault="0031271A" w:rsidP="0031271A">
          <w:pPr>
            <w:pStyle w:val="TM1"/>
            <w:tabs>
              <w:tab w:val="right" w:leader="dot" w:pos="9628"/>
            </w:tabs>
            <w:rPr>
              <w:rFonts w:asciiTheme="majorBidi" w:eastAsiaTheme="minorEastAsia" w:hAnsiTheme="majorBidi" w:cstheme="majorBidi"/>
              <w:noProof/>
              <w:sz w:val="24"/>
              <w:szCs w:val="24"/>
              <w:lang w:eastAsia="fr-FR"/>
            </w:rPr>
          </w:pPr>
          <w:hyperlink w:anchor="_Toc390857906" w:history="1">
            <w:r w:rsidRPr="002130A8">
              <w:rPr>
                <w:rStyle w:val="Lienhypertexte"/>
                <w:rFonts w:asciiTheme="majorBidi" w:hAnsiTheme="majorBidi" w:cstheme="majorBidi"/>
                <w:noProof/>
                <w:sz w:val="24"/>
                <w:szCs w:val="24"/>
              </w:rPr>
              <w:t>Annexes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_Toc390857906 \h </w:instrTex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52</w:t>
            </w:r>
            <w:r w:rsidRPr="002130A8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271A" w:rsidRDefault="0031271A" w:rsidP="0031271A">
          <w:r w:rsidRPr="002130A8">
            <w:rPr>
              <w:rFonts w:asciiTheme="majorBidi" w:hAnsiTheme="majorBidi" w:cstheme="majorBidi"/>
              <w:sz w:val="24"/>
              <w:szCs w:val="24"/>
            </w:rPr>
            <w:fldChar w:fldCharType="end"/>
          </w:r>
        </w:p>
      </w:sdtContent>
    </w:sdt>
    <w:p w:rsidR="0031271A" w:rsidRDefault="0031271A" w:rsidP="0031271A">
      <w:pPr>
        <w:spacing w:line="360" w:lineRule="auto"/>
      </w:pPr>
    </w:p>
    <w:p w:rsidR="0031271A" w:rsidRDefault="0031271A" w:rsidP="0031271A">
      <w:pPr>
        <w:spacing w:line="360" w:lineRule="auto"/>
      </w:pPr>
    </w:p>
    <w:p w:rsidR="0031271A" w:rsidRDefault="0031271A" w:rsidP="0031271A">
      <w:pPr>
        <w:spacing w:line="360" w:lineRule="auto"/>
      </w:pPr>
    </w:p>
    <w:p w:rsidR="0031271A" w:rsidRDefault="0031271A" w:rsidP="0031271A">
      <w:pPr>
        <w:spacing w:line="360" w:lineRule="auto"/>
      </w:pPr>
    </w:p>
    <w:p w:rsidR="0031271A" w:rsidRDefault="0031271A" w:rsidP="0031271A">
      <w:pPr>
        <w:spacing w:line="360" w:lineRule="auto"/>
      </w:pPr>
    </w:p>
    <w:p w:rsidR="0031271A" w:rsidRDefault="0031271A" w:rsidP="0031271A">
      <w:pPr>
        <w:spacing w:line="360" w:lineRule="auto"/>
      </w:pPr>
    </w:p>
    <w:p w:rsidR="0031271A" w:rsidRDefault="0031271A" w:rsidP="0031271A">
      <w:pPr>
        <w:spacing w:line="360" w:lineRule="auto"/>
      </w:pPr>
    </w:p>
    <w:p w:rsidR="0031271A" w:rsidRDefault="0031271A" w:rsidP="0031271A">
      <w:pPr>
        <w:spacing w:line="360" w:lineRule="auto"/>
      </w:pPr>
    </w:p>
    <w:p w:rsidR="0031271A" w:rsidRDefault="0031271A" w:rsidP="0031271A">
      <w:pPr>
        <w:spacing w:line="360" w:lineRule="auto"/>
      </w:pPr>
    </w:p>
    <w:p w:rsidR="0031271A" w:rsidRDefault="0031271A" w:rsidP="0031271A">
      <w:pPr>
        <w:spacing w:line="360" w:lineRule="auto"/>
      </w:pPr>
    </w:p>
    <w:p w:rsidR="0031271A" w:rsidRDefault="0031271A" w:rsidP="0031271A">
      <w:pPr>
        <w:spacing w:line="360" w:lineRule="auto"/>
      </w:pPr>
    </w:p>
    <w:p w:rsidR="0031271A" w:rsidRDefault="0031271A" w:rsidP="0031271A">
      <w:pPr>
        <w:spacing w:line="360" w:lineRule="auto"/>
      </w:pPr>
    </w:p>
    <w:p w:rsidR="0031271A" w:rsidRDefault="0031271A" w:rsidP="0031271A">
      <w:pPr>
        <w:spacing w:line="360" w:lineRule="auto"/>
      </w:pPr>
    </w:p>
    <w:p w:rsidR="0031271A" w:rsidRDefault="0031271A" w:rsidP="0031271A">
      <w:pPr>
        <w:spacing w:line="360" w:lineRule="auto"/>
      </w:pPr>
    </w:p>
    <w:p w:rsidR="0031271A" w:rsidRDefault="0031271A" w:rsidP="0031271A">
      <w:pPr>
        <w:spacing w:line="360" w:lineRule="auto"/>
      </w:pPr>
    </w:p>
    <w:p w:rsidR="0031271A" w:rsidRDefault="0031271A" w:rsidP="0031271A">
      <w:pPr>
        <w:spacing w:line="360" w:lineRule="auto"/>
      </w:pPr>
    </w:p>
    <w:p w:rsidR="0031271A" w:rsidRDefault="0031271A" w:rsidP="0031271A">
      <w:pPr>
        <w:spacing w:line="360" w:lineRule="auto"/>
        <w:rPr>
          <w:rFonts w:hint="cs"/>
          <w:lang w:bidi="ar-DZ"/>
        </w:rPr>
      </w:pPr>
    </w:p>
    <w:p w:rsidR="00A34929" w:rsidRPr="0031271A" w:rsidRDefault="00A34929" w:rsidP="0031271A">
      <w:pPr>
        <w:bidi w:val="0"/>
        <w:rPr>
          <w:rFonts w:hint="cs"/>
          <w:lang w:val="fr-FR" w:bidi="ar-DZ"/>
        </w:rPr>
      </w:pPr>
    </w:p>
    <w:sectPr w:rsidR="00A34929" w:rsidRPr="0031271A" w:rsidSect="000D4C55">
      <w:headerReference w:type="default" r:id="rId4"/>
      <w:footerReference w:type="default" r:id="rId5"/>
      <w:pgSz w:w="11906" w:h="16838"/>
      <w:pgMar w:top="1134" w:right="1134" w:bottom="1134" w:left="1134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963" w:rsidRDefault="00A34929" w:rsidP="000D4C55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</w:p>
  <w:p w:rsidR="00F92963" w:rsidRDefault="00A34929">
    <w:pPr>
      <w:pStyle w:val="Pieddepage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963" w:rsidRPr="00F92963" w:rsidRDefault="00A34929" w:rsidP="000D4C55">
    <w:pPr>
      <w:pStyle w:val="En-tt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24"/>
      </w:rPr>
    </w:pPr>
  </w:p>
  <w:p w:rsidR="00F92963" w:rsidRPr="00F92963" w:rsidRDefault="00A34929">
    <w:pPr>
      <w:pStyle w:val="En-tte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31271A"/>
    <w:rsid w:val="0031271A"/>
    <w:rsid w:val="00A34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Titre1">
    <w:name w:val="heading 1"/>
    <w:basedOn w:val="Normal"/>
    <w:next w:val="Normal"/>
    <w:link w:val="Titre1Car"/>
    <w:uiPriority w:val="9"/>
    <w:qFormat/>
    <w:rsid w:val="003127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1271A"/>
    <w:pPr>
      <w:tabs>
        <w:tab w:val="center" w:pos="4153"/>
        <w:tab w:val="right" w:pos="8306"/>
      </w:tabs>
      <w:bidi w:val="0"/>
    </w:pPr>
    <w:rPr>
      <w:rFonts w:ascii="Calibri" w:eastAsia="Calibri" w:hAnsi="Calibri" w:cs="Arial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31271A"/>
    <w:rPr>
      <w:rFonts w:ascii="Calibri" w:eastAsia="Calibri" w:hAnsi="Calibri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1271A"/>
    <w:pPr>
      <w:tabs>
        <w:tab w:val="center" w:pos="4153"/>
        <w:tab w:val="right" w:pos="8306"/>
      </w:tabs>
      <w:bidi w:val="0"/>
    </w:pPr>
    <w:rPr>
      <w:rFonts w:ascii="Calibri" w:eastAsia="Calibri" w:hAnsi="Calibri" w:cs="Arial"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31271A"/>
    <w:rPr>
      <w:rFonts w:ascii="Calibri" w:eastAsia="Calibri" w:hAnsi="Calibri" w:cs="Arial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3127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1271A"/>
    <w:pPr>
      <w:bidi w:val="0"/>
      <w:outlineLvl w:val="9"/>
    </w:pPr>
    <w:rPr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31271A"/>
    <w:pPr>
      <w:bidi w:val="0"/>
      <w:spacing w:after="100"/>
    </w:pPr>
    <w:rPr>
      <w:rFonts w:ascii="Calibri" w:eastAsia="Calibri" w:hAnsi="Calibri" w:cs="Arial"/>
      <w:lang w:val="fr-FR"/>
    </w:rPr>
  </w:style>
  <w:style w:type="character" w:styleId="Lienhypertexte">
    <w:name w:val="Hyperlink"/>
    <w:basedOn w:val="Policepardfaut"/>
    <w:uiPriority w:val="99"/>
    <w:unhideWhenUsed/>
    <w:rsid w:val="0031271A"/>
    <w:rPr>
      <w:color w:val="0000FF" w:themeColor="hyperlink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31271A"/>
    <w:pPr>
      <w:bidi w:val="0"/>
      <w:spacing w:after="100"/>
      <w:ind w:left="220"/>
    </w:pPr>
    <w:rPr>
      <w:rFonts w:ascii="Calibri" w:eastAsia="Calibri" w:hAnsi="Calibri" w:cs="Arial"/>
      <w:lang w:val="fr-FR"/>
    </w:rPr>
  </w:style>
  <w:style w:type="paragraph" w:styleId="TM3">
    <w:name w:val="toc 3"/>
    <w:basedOn w:val="Normal"/>
    <w:next w:val="Normal"/>
    <w:autoRedefine/>
    <w:uiPriority w:val="39"/>
    <w:unhideWhenUsed/>
    <w:rsid w:val="0031271A"/>
    <w:pPr>
      <w:bidi w:val="0"/>
      <w:spacing w:after="100"/>
      <w:ind w:left="440"/>
    </w:pPr>
    <w:rPr>
      <w:rFonts w:ascii="Calibri" w:eastAsia="Calibri" w:hAnsi="Calibri" w:cs="Arial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2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27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939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mouh</dc:creator>
  <cp:keywords/>
  <dc:description/>
  <cp:lastModifiedBy>mouh</cp:lastModifiedBy>
  <cp:revision>2</cp:revision>
  <dcterms:created xsi:type="dcterms:W3CDTF">2014-06-28T20:45:00Z</dcterms:created>
  <dcterms:modified xsi:type="dcterms:W3CDTF">2014-06-28T20:46:00Z</dcterms:modified>
</cp:coreProperties>
</file>