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68D" w:rsidRDefault="001C568D" w:rsidP="001C568D">
      <w:pPr>
        <w:pStyle w:val="TOC1"/>
        <w:tabs>
          <w:tab w:val="right" w:leader="dot" w:pos="9336"/>
        </w:tabs>
        <w:rPr>
          <w:rStyle w:val="Hyperlink"/>
          <w:noProof/>
          <w:color w:val="auto"/>
          <w:u w:val="none"/>
        </w:rPr>
      </w:pPr>
    </w:p>
    <w:p w:rsidR="001C568D" w:rsidRDefault="001C568D" w:rsidP="001C568D">
      <w:pPr>
        <w:pStyle w:val="TOC1"/>
        <w:tabs>
          <w:tab w:val="right" w:leader="dot" w:pos="9336"/>
        </w:tabs>
        <w:jc w:val="center"/>
        <w:rPr>
          <w:rStyle w:val="Hyperlink"/>
          <w:noProof/>
          <w:color w:val="auto"/>
          <w:u w:val="none"/>
        </w:rPr>
      </w:pPr>
      <w:r>
        <w:rPr>
          <w:rStyle w:val="Hyperlink"/>
          <w:noProof/>
          <w:color w:val="auto"/>
          <w:u w:val="none"/>
        </w:rPr>
        <w:t>Chapitre 03</w:t>
      </w:r>
    </w:p>
    <w:p w:rsidR="001C568D" w:rsidRDefault="001C568D" w:rsidP="001C568D">
      <w:pPr>
        <w:pStyle w:val="TOC1"/>
        <w:tabs>
          <w:tab w:val="right" w:leader="dot" w:pos="9336"/>
        </w:tabs>
        <w:rPr>
          <w:rStyle w:val="Hyperlink"/>
          <w:noProof/>
          <w:color w:val="auto"/>
          <w:u w:val="none"/>
        </w:rPr>
      </w:pPr>
    </w:p>
    <w:p w:rsidR="001C568D" w:rsidRPr="001C568D" w:rsidRDefault="00257A33" w:rsidP="008A4A33">
      <w:pPr>
        <w:pStyle w:val="TOC1"/>
        <w:tabs>
          <w:tab w:val="right" w:leader="dot" w:pos="9336"/>
        </w:tabs>
        <w:rPr>
          <w:noProof/>
        </w:rPr>
      </w:pPr>
      <w:hyperlink w:anchor="_Toc390600454" w:history="1">
        <w:r w:rsidR="000C51E5" w:rsidRPr="001C568D">
          <w:rPr>
            <w:rStyle w:val="Hyperlink"/>
            <w:rFonts w:asciiTheme="majorBidi" w:hAnsiTheme="majorBidi" w:cstheme="majorBidi"/>
            <w:noProof/>
            <w:color w:val="auto"/>
            <w:u w:val="none"/>
          </w:rPr>
          <w:t>3.1. Categories de risques au niveau d’alfet-tiaret</w:t>
        </w:r>
        <w:r w:rsidR="001C568D" w:rsidRPr="001C568D">
          <w:rPr>
            <w:noProof/>
            <w:webHidden/>
          </w:rPr>
          <w:tab/>
        </w:r>
        <w:r w:rsidR="008A4A33">
          <w:rPr>
            <w:noProof/>
            <w:webHidden/>
          </w:rPr>
          <w:t>29</w:t>
        </w:r>
      </w:hyperlink>
    </w:p>
    <w:p w:rsidR="001C568D" w:rsidRPr="001C568D" w:rsidRDefault="00257A33" w:rsidP="008A4A33">
      <w:pPr>
        <w:pStyle w:val="TOC1"/>
        <w:tabs>
          <w:tab w:val="right" w:leader="dot" w:pos="9336"/>
        </w:tabs>
        <w:rPr>
          <w:noProof/>
        </w:rPr>
      </w:pPr>
      <w:hyperlink w:anchor="_Toc390600455" w:history="1">
        <w:r w:rsidR="000C51E5" w:rsidRPr="001C568D">
          <w:rPr>
            <w:rStyle w:val="Hyperlink"/>
            <w:rFonts w:asciiTheme="majorBidi" w:hAnsiTheme="majorBidi" w:cstheme="majorBidi"/>
            <w:noProof/>
            <w:color w:val="auto"/>
            <w:u w:val="none"/>
          </w:rPr>
          <w:t>3.2. Analyse  des  risques au niveau d’alfet-tiaret</w:t>
        </w:r>
        <w:r w:rsidR="001C568D" w:rsidRPr="001C568D">
          <w:rPr>
            <w:noProof/>
            <w:webHidden/>
          </w:rPr>
          <w:tab/>
        </w:r>
        <w:r w:rsidR="008A4A33">
          <w:rPr>
            <w:noProof/>
            <w:webHidden/>
          </w:rPr>
          <w:t>30</w:t>
        </w:r>
      </w:hyperlink>
    </w:p>
    <w:p w:rsidR="001C568D" w:rsidRPr="001C568D" w:rsidRDefault="00257A33" w:rsidP="008A4A33">
      <w:pPr>
        <w:pStyle w:val="TOC2"/>
        <w:tabs>
          <w:tab w:val="right" w:leader="dot" w:pos="9336"/>
        </w:tabs>
        <w:rPr>
          <w:noProof/>
        </w:rPr>
      </w:pPr>
      <w:hyperlink w:anchor="_Toc390600456" w:history="1">
        <w:r w:rsidR="001C568D" w:rsidRPr="001C568D">
          <w:rPr>
            <w:rStyle w:val="Hyperlink"/>
            <w:rFonts w:asciiTheme="majorBidi" w:hAnsiTheme="majorBidi" w:cstheme="majorBidi"/>
            <w:noProof/>
            <w:color w:val="auto"/>
            <w:u w:val="none"/>
          </w:rPr>
          <w:t>3.2.1. Bilan annuel 2013</w:t>
        </w:r>
        <w:r w:rsidR="001C568D" w:rsidRPr="001C568D">
          <w:rPr>
            <w:noProof/>
            <w:webHidden/>
          </w:rPr>
          <w:tab/>
        </w:r>
        <w:r w:rsidR="008A4A33">
          <w:rPr>
            <w:noProof/>
            <w:webHidden/>
          </w:rPr>
          <w:t>30</w:t>
        </w:r>
      </w:hyperlink>
    </w:p>
    <w:p w:rsidR="001C568D" w:rsidRPr="001C568D" w:rsidRDefault="00257A33" w:rsidP="008A4A33">
      <w:pPr>
        <w:pStyle w:val="TOC2"/>
        <w:tabs>
          <w:tab w:val="right" w:leader="dot" w:pos="9336"/>
        </w:tabs>
        <w:rPr>
          <w:noProof/>
        </w:rPr>
      </w:pPr>
      <w:hyperlink w:anchor="_Toc390600457" w:history="1">
        <w:r w:rsidR="000C51E5" w:rsidRPr="001C568D">
          <w:rPr>
            <w:rStyle w:val="Hyperlink"/>
            <w:rFonts w:asciiTheme="majorBidi" w:hAnsiTheme="majorBidi" w:cstheme="majorBidi"/>
            <w:noProof/>
            <w:color w:val="auto"/>
            <w:u w:val="none"/>
          </w:rPr>
          <w:t>3.2. 2.constat et recommandations</w:t>
        </w:r>
        <w:r w:rsidR="001C568D" w:rsidRPr="001C568D">
          <w:rPr>
            <w:noProof/>
            <w:webHidden/>
          </w:rPr>
          <w:tab/>
        </w:r>
        <w:r w:rsidR="008A4A33">
          <w:rPr>
            <w:noProof/>
            <w:webHidden/>
          </w:rPr>
          <w:t>33</w:t>
        </w:r>
      </w:hyperlink>
    </w:p>
    <w:p w:rsidR="001C568D" w:rsidRPr="001C568D" w:rsidRDefault="00257A33" w:rsidP="008A4A33">
      <w:pPr>
        <w:pStyle w:val="TOC3"/>
        <w:tabs>
          <w:tab w:val="right" w:leader="dot" w:pos="9336"/>
        </w:tabs>
        <w:rPr>
          <w:noProof/>
        </w:rPr>
      </w:pPr>
      <w:hyperlink w:anchor="_Toc390600458" w:history="1">
        <w:r w:rsidR="001C568D" w:rsidRPr="001C568D">
          <w:rPr>
            <w:rStyle w:val="Hyperlink"/>
            <w:rFonts w:asciiTheme="majorBidi" w:hAnsiTheme="majorBidi" w:cstheme="majorBidi"/>
            <w:noProof/>
            <w:color w:val="auto"/>
            <w:u w:val="none"/>
          </w:rPr>
          <w:t>3.2.2.1. Hygiène et sécurité</w:t>
        </w:r>
        <w:r w:rsidR="001C568D" w:rsidRPr="001C568D">
          <w:rPr>
            <w:noProof/>
            <w:webHidden/>
          </w:rPr>
          <w:tab/>
        </w:r>
        <w:r w:rsidR="008A4A33">
          <w:rPr>
            <w:noProof/>
            <w:webHidden/>
          </w:rPr>
          <w:t>33</w:t>
        </w:r>
      </w:hyperlink>
    </w:p>
    <w:p w:rsidR="001C568D" w:rsidRPr="001C568D" w:rsidRDefault="00257A33" w:rsidP="008A4A33">
      <w:pPr>
        <w:pStyle w:val="TOC3"/>
        <w:tabs>
          <w:tab w:val="right" w:leader="dot" w:pos="9336"/>
        </w:tabs>
        <w:rPr>
          <w:noProof/>
        </w:rPr>
      </w:pPr>
      <w:hyperlink w:anchor="_Toc390600459" w:history="1">
        <w:r w:rsidR="001C568D" w:rsidRPr="001C568D">
          <w:rPr>
            <w:rStyle w:val="Hyperlink"/>
            <w:rFonts w:asciiTheme="majorBidi" w:hAnsiTheme="majorBidi" w:cstheme="majorBidi"/>
            <w:noProof/>
            <w:color w:val="auto"/>
            <w:u w:val="none"/>
          </w:rPr>
          <w:t>3.2.2.2. Risques industriel</w:t>
        </w:r>
        <w:r w:rsidR="001C568D" w:rsidRPr="001C568D">
          <w:rPr>
            <w:noProof/>
            <w:webHidden/>
          </w:rPr>
          <w:tab/>
        </w:r>
        <w:r w:rsidR="008A4A33">
          <w:rPr>
            <w:noProof/>
            <w:webHidden/>
          </w:rPr>
          <w:t>39</w:t>
        </w:r>
      </w:hyperlink>
    </w:p>
    <w:p w:rsidR="001C568D" w:rsidRPr="001C568D" w:rsidRDefault="00257A33" w:rsidP="008A4A33">
      <w:pPr>
        <w:pStyle w:val="TOC3"/>
        <w:tabs>
          <w:tab w:val="right" w:leader="dot" w:pos="9336"/>
        </w:tabs>
        <w:rPr>
          <w:noProof/>
        </w:rPr>
      </w:pPr>
      <w:hyperlink w:anchor="_Toc390600460" w:history="1">
        <w:r w:rsidR="001C568D" w:rsidRPr="001C568D">
          <w:rPr>
            <w:rStyle w:val="Hyperlink"/>
            <w:rFonts w:asciiTheme="majorBidi" w:hAnsiTheme="majorBidi" w:cstheme="majorBidi"/>
            <w:noProof/>
            <w:color w:val="auto"/>
            <w:u w:val="none"/>
          </w:rPr>
          <w:t>3.2.2.3. Les risques actuels au niveau d’unité fonderie fonte</w:t>
        </w:r>
        <w:r w:rsidR="001C568D" w:rsidRPr="001C568D">
          <w:rPr>
            <w:noProof/>
            <w:webHidden/>
          </w:rPr>
          <w:tab/>
        </w:r>
        <w:r w:rsidR="008A4A33">
          <w:rPr>
            <w:noProof/>
            <w:webHidden/>
          </w:rPr>
          <w:t>40</w:t>
        </w:r>
      </w:hyperlink>
    </w:p>
    <w:p w:rsidR="001C568D" w:rsidRPr="001C568D" w:rsidRDefault="00257A33" w:rsidP="008A4A33">
      <w:pPr>
        <w:pStyle w:val="TOC3"/>
        <w:tabs>
          <w:tab w:val="right" w:leader="dot" w:pos="9336"/>
        </w:tabs>
        <w:rPr>
          <w:noProof/>
        </w:rPr>
      </w:pPr>
      <w:hyperlink w:anchor="_Toc390600461" w:history="1">
        <w:r w:rsidR="001C568D" w:rsidRPr="001C568D">
          <w:rPr>
            <w:rStyle w:val="Hyperlink"/>
            <w:rFonts w:asciiTheme="majorBidi" w:hAnsiTheme="majorBidi" w:cstheme="majorBidi"/>
            <w:noProof/>
            <w:color w:val="auto"/>
            <w:u w:val="none"/>
          </w:rPr>
          <w:t>3.2.2.4. Les risques actuels à l'atelier d’usinage</w:t>
        </w:r>
        <w:r w:rsidR="001C568D" w:rsidRPr="001C568D">
          <w:rPr>
            <w:noProof/>
            <w:webHidden/>
          </w:rPr>
          <w:tab/>
        </w:r>
        <w:r w:rsidR="008A4A33">
          <w:rPr>
            <w:noProof/>
            <w:webHidden/>
          </w:rPr>
          <w:t>41</w:t>
        </w:r>
      </w:hyperlink>
    </w:p>
    <w:p w:rsidR="001C568D" w:rsidRPr="001C568D" w:rsidRDefault="00257A33" w:rsidP="008A4A33">
      <w:pPr>
        <w:pStyle w:val="TOC1"/>
        <w:tabs>
          <w:tab w:val="right" w:leader="dot" w:pos="9336"/>
        </w:tabs>
        <w:rPr>
          <w:noProof/>
        </w:rPr>
      </w:pPr>
      <w:hyperlink w:anchor="_Toc390600464" w:history="1">
        <w:r w:rsidR="001C568D" w:rsidRPr="001C568D">
          <w:rPr>
            <w:rStyle w:val="Hyperlink"/>
            <w:rFonts w:asciiTheme="majorBidi" w:hAnsiTheme="majorBidi" w:cstheme="majorBidi"/>
            <w:noProof/>
            <w:color w:val="auto"/>
            <w:u w:val="none"/>
          </w:rPr>
          <w:t>3</w:t>
        </w:r>
        <w:r w:rsidR="004C47F0">
          <w:rPr>
            <w:rStyle w:val="Hyperlink"/>
            <w:rFonts w:asciiTheme="majorBidi" w:hAnsiTheme="majorBidi" w:cstheme="majorBidi"/>
            <w:noProof/>
            <w:color w:val="auto"/>
            <w:u w:val="none"/>
          </w:rPr>
          <w:t>.2</w:t>
        </w:r>
        <w:r w:rsidR="001C568D" w:rsidRPr="001C568D">
          <w:rPr>
            <w:rStyle w:val="Hyperlink"/>
            <w:rFonts w:asciiTheme="majorBidi" w:hAnsiTheme="majorBidi" w:cstheme="majorBidi"/>
            <w:noProof/>
            <w:color w:val="auto"/>
            <w:u w:val="none"/>
          </w:rPr>
          <w:t>.3. La protection</w:t>
        </w:r>
        <w:r w:rsidR="001C568D" w:rsidRPr="001C568D">
          <w:rPr>
            <w:noProof/>
            <w:webHidden/>
          </w:rPr>
          <w:tab/>
        </w:r>
        <w:r w:rsidR="008A4A33">
          <w:rPr>
            <w:noProof/>
            <w:webHidden/>
          </w:rPr>
          <w:t>41</w:t>
        </w:r>
      </w:hyperlink>
    </w:p>
    <w:p w:rsidR="001C568D" w:rsidRPr="001C568D" w:rsidRDefault="004F3302" w:rsidP="008A4A33">
      <w:pPr>
        <w:pStyle w:val="TOC2"/>
        <w:tabs>
          <w:tab w:val="right" w:leader="dot" w:pos="9336"/>
        </w:tabs>
        <w:rPr>
          <w:noProof/>
        </w:rPr>
      </w:pPr>
      <w:r>
        <w:t xml:space="preserve">    </w:t>
      </w:r>
      <w:hyperlink w:anchor="_Toc390600465" w:history="1">
        <w:r w:rsidR="000C51E5" w:rsidRPr="001C568D">
          <w:rPr>
            <w:rStyle w:val="Hyperlink"/>
            <w:rFonts w:asciiTheme="majorBidi" w:hAnsiTheme="majorBidi" w:cstheme="majorBidi"/>
            <w:noProof/>
            <w:color w:val="auto"/>
            <w:u w:val="none"/>
          </w:rPr>
          <w:t>3.3.1.équipements de protection</w:t>
        </w:r>
        <w:r w:rsidR="001C568D" w:rsidRPr="001C568D">
          <w:rPr>
            <w:noProof/>
            <w:webHidden/>
          </w:rPr>
          <w:tab/>
        </w:r>
        <w:r w:rsidR="008A4A33">
          <w:rPr>
            <w:noProof/>
            <w:webHidden/>
          </w:rPr>
          <w:t>41</w:t>
        </w:r>
      </w:hyperlink>
    </w:p>
    <w:p w:rsidR="001C568D" w:rsidRDefault="00257A33" w:rsidP="004F3302">
      <w:pPr>
        <w:pStyle w:val="TOC3"/>
        <w:tabs>
          <w:tab w:val="right" w:leader="dot" w:pos="9336"/>
        </w:tabs>
        <w:rPr>
          <w:noProof/>
        </w:rPr>
      </w:pPr>
      <w:hyperlink w:anchor="_Toc390600466" w:history="1">
        <w:r w:rsidR="001C568D" w:rsidRPr="001C568D">
          <w:rPr>
            <w:rStyle w:val="Hyperlink"/>
            <w:rFonts w:asciiTheme="majorBidi" w:hAnsiTheme="majorBidi" w:cstheme="majorBidi"/>
            <w:noProof/>
            <w:color w:val="auto"/>
            <w:u w:val="none"/>
          </w:rPr>
          <w:t>3.</w:t>
        </w:r>
        <w:r w:rsidR="004F3302">
          <w:rPr>
            <w:rStyle w:val="Hyperlink"/>
            <w:rFonts w:asciiTheme="majorBidi" w:hAnsiTheme="majorBidi" w:cstheme="majorBidi"/>
            <w:noProof/>
            <w:color w:val="auto"/>
            <w:u w:val="none"/>
          </w:rPr>
          <w:t>2.</w:t>
        </w:r>
        <w:r w:rsidR="001C568D" w:rsidRPr="001C568D">
          <w:rPr>
            <w:rStyle w:val="Hyperlink"/>
            <w:rFonts w:asciiTheme="majorBidi" w:hAnsiTheme="majorBidi" w:cstheme="majorBidi"/>
            <w:noProof/>
            <w:color w:val="auto"/>
            <w:u w:val="none"/>
          </w:rPr>
          <w:t>3.1.. Objectif</w:t>
        </w:r>
        <w:r w:rsidR="001C568D" w:rsidRPr="001C568D">
          <w:rPr>
            <w:noProof/>
            <w:webHidden/>
          </w:rPr>
          <w:tab/>
        </w:r>
        <w:r w:rsidR="008A4A33">
          <w:rPr>
            <w:noProof/>
            <w:webHidden/>
          </w:rPr>
          <w:t>4</w:t>
        </w:r>
        <w:r w:rsidR="004C47F0">
          <w:rPr>
            <w:noProof/>
            <w:webHidden/>
          </w:rPr>
          <w:t>1</w:t>
        </w:r>
      </w:hyperlink>
    </w:p>
    <w:p w:rsidR="004F3302" w:rsidRPr="004F3302" w:rsidRDefault="004F3302" w:rsidP="004F3302">
      <w:pPr>
        <w:pStyle w:val="TOC2"/>
        <w:tabs>
          <w:tab w:val="right" w:leader="dot" w:pos="9336"/>
        </w:tabs>
        <w:rPr>
          <w:noProof/>
        </w:rPr>
      </w:pPr>
      <w:r>
        <w:t xml:space="preserve">  </w:t>
      </w:r>
      <w:r>
        <w:t xml:space="preserve">  </w:t>
      </w:r>
      <w:hyperlink w:anchor="_Toc390600465" w:history="1">
        <w:r>
          <w:rPr>
            <w:rStyle w:val="Hyperlink"/>
            <w:rFonts w:asciiTheme="majorBidi" w:hAnsiTheme="majorBidi" w:cstheme="majorBidi"/>
            <w:noProof/>
            <w:color w:val="auto"/>
            <w:u w:val="none"/>
          </w:rPr>
          <w:t>3.2.3.2</w:t>
        </w:r>
        <w:r w:rsidRPr="001C568D">
          <w:rPr>
            <w:rStyle w:val="Hyperlink"/>
            <w:rFonts w:asciiTheme="majorBidi" w:hAnsiTheme="majorBidi" w:cstheme="majorBidi"/>
            <w:noProof/>
            <w:color w:val="auto"/>
            <w:u w:val="none"/>
          </w:rPr>
          <w:t>.équipements de protection</w:t>
        </w:r>
        <w:r w:rsidRPr="001C568D">
          <w:rPr>
            <w:noProof/>
            <w:webHidden/>
          </w:rPr>
          <w:tab/>
        </w:r>
        <w:r>
          <w:rPr>
            <w:noProof/>
            <w:webHidden/>
          </w:rPr>
          <w:t>4</w:t>
        </w:r>
        <w:r>
          <w:rPr>
            <w:noProof/>
            <w:webHidden/>
          </w:rPr>
          <w:t>2</w:t>
        </w:r>
      </w:hyperlink>
    </w:p>
    <w:p w:rsidR="001C568D" w:rsidRPr="001C568D" w:rsidRDefault="00257A33" w:rsidP="004F3302">
      <w:pPr>
        <w:pStyle w:val="TOC3"/>
        <w:tabs>
          <w:tab w:val="right" w:leader="dot" w:pos="9336"/>
        </w:tabs>
        <w:rPr>
          <w:noProof/>
        </w:rPr>
      </w:pPr>
      <w:hyperlink w:anchor="_Toc390600467" w:history="1">
        <w:r w:rsidR="0016496F">
          <w:rPr>
            <w:rStyle w:val="Hyperlink"/>
            <w:rFonts w:asciiTheme="majorBidi" w:hAnsiTheme="majorBidi" w:cstheme="majorBidi"/>
            <w:noProof/>
            <w:color w:val="auto"/>
            <w:u w:val="none"/>
          </w:rPr>
          <w:t>3.2.3.</w:t>
        </w:r>
        <w:bookmarkStart w:id="0" w:name="_GoBack"/>
        <w:bookmarkEnd w:id="0"/>
        <w:r w:rsidR="000C51E5" w:rsidRPr="001C568D">
          <w:rPr>
            <w:rStyle w:val="Hyperlink"/>
            <w:rFonts w:asciiTheme="majorBidi" w:hAnsiTheme="majorBidi" w:cstheme="majorBidi"/>
            <w:noProof/>
            <w:color w:val="auto"/>
            <w:u w:val="none"/>
          </w:rPr>
          <w:t>. Les équipements de  protections individuelles (epi)</w:t>
        </w:r>
        <w:r w:rsidR="001C568D" w:rsidRPr="001C568D">
          <w:rPr>
            <w:noProof/>
            <w:webHidden/>
          </w:rPr>
          <w:tab/>
        </w:r>
        <w:r w:rsidR="008A4A33">
          <w:rPr>
            <w:noProof/>
            <w:webHidden/>
          </w:rPr>
          <w:t>4</w:t>
        </w:r>
        <w:r w:rsidR="004F3302">
          <w:rPr>
            <w:noProof/>
            <w:webHidden/>
          </w:rPr>
          <w:t>2</w:t>
        </w:r>
      </w:hyperlink>
    </w:p>
    <w:p w:rsidR="001C568D" w:rsidRPr="001C568D" w:rsidRDefault="00257A33" w:rsidP="004F3302">
      <w:pPr>
        <w:pStyle w:val="TOC3"/>
        <w:tabs>
          <w:tab w:val="right" w:leader="dot" w:pos="9336"/>
        </w:tabs>
        <w:rPr>
          <w:noProof/>
        </w:rPr>
      </w:pPr>
      <w:hyperlink w:anchor="_Toc390600468" w:history="1">
        <w:r w:rsidR="000C51E5" w:rsidRPr="001C568D">
          <w:rPr>
            <w:rStyle w:val="Hyperlink"/>
            <w:rFonts w:asciiTheme="majorBidi" w:hAnsiTheme="majorBidi" w:cstheme="majorBidi"/>
            <w:noProof/>
            <w:color w:val="auto"/>
            <w:u w:val="none"/>
          </w:rPr>
          <w:t>3.3.1.3. Les équipements des  protections collectives (epc)</w:t>
        </w:r>
        <w:r w:rsidR="001C568D" w:rsidRPr="001C568D">
          <w:rPr>
            <w:noProof/>
            <w:webHidden/>
          </w:rPr>
          <w:tab/>
        </w:r>
        <w:r w:rsidR="008A4A33">
          <w:rPr>
            <w:noProof/>
            <w:webHidden/>
          </w:rPr>
          <w:t>4</w:t>
        </w:r>
        <w:r w:rsidR="004F3302">
          <w:rPr>
            <w:noProof/>
            <w:webHidden/>
          </w:rPr>
          <w:t>2</w:t>
        </w:r>
      </w:hyperlink>
    </w:p>
    <w:p w:rsidR="001C568D" w:rsidRPr="001C568D" w:rsidRDefault="00257A33" w:rsidP="004F3302">
      <w:pPr>
        <w:pStyle w:val="TOC1"/>
        <w:tabs>
          <w:tab w:val="right" w:leader="dot" w:pos="9336"/>
        </w:tabs>
        <w:rPr>
          <w:noProof/>
        </w:rPr>
      </w:pPr>
      <w:hyperlink w:anchor="_Toc390600469" w:history="1">
        <w:r w:rsidR="000C51E5" w:rsidRPr="001C568D">
          <w:rPr>
            <w:rStyle w:val="Hyperlink"/>
            <w:rFonts w:asciiTheme="majorBidi" w:hAnsiTheme="majorBidi" w:cstheme="majorBidi"/>
            <w:noProof/>
            <w:color w:val="auto"/>
            <w:u w:val="none"/>
          </w:rPr>
          <w:t>3.4. Consignes de sécurité</w:t>
        </w:r>
        <w:r w:rsidR="001C568D" w:rsidRPr="001C568D">
          <w:rPr>
            <w:noProof/>
            <w:webHidden/>
          </w:rPr>
          <w:tab/>
        </w:r>
        <w:r w:rsidR="008A4A33">
          <w:rPr>
            <w:noProof/>
            <w:webHidden/>
          </w:rPr>
          <w:t>4</w:t>
        </w:r>
        <w:r w:rsidR="004F3302">
          <w:rPr>
            <w:noProof/>
            <w:webHidden/>
          </w:rPr>
          <w:t>2</w:t>
        </w:r>
      </w:hyperlink>
    </w:p>
    <w:p w:rsidR="001C568D" w:rsidRPr="001C568D" w:rsidRDefault="00257A33" w:rsidP="004F3302">
      <w:pPr>
        <w:pStyle w:val="TOC1"/>
        <w:tabs>
          <w:tab w:val="right" w:leader="dot" w:pos="9336"/>
        </w:tabs>
        <w:rPr>
          <w:noProof/>
        </w:rPr>
      </w:pPr>
      <w:hyperlink w:anchor="_Toc390600470" w:history="1">
        <w:r w:rsidR="001C568D" w:rsidRPr="001C568D">
          <w:rPr>
            <w:rStyle w:val="Hyperlink"/>
            <w:rFonts w:asciiTheme="majorBidi" w:hAnsiTheme="majorBidi" w:cstheme="majorBidi"/>
            <w:noProof/>
            <w:color w:val="auto"/>
            <w:u w:val="none"/>
          </w:rPr>
          <w:t>3.5. La signalisation dans l’entreprise.</w:t>
        </w:r>
        <w:r w:rsidR="001C568D" w:rsidRPr="001C568D">
          <w:rPr>
            <w:noProof/>
            <w:webHidden/>
          </w:rPr>
          <w:tab/>
        </w:r>
        <w:r w:rsidR="008A4A33">
          <w:rPr>
            <w:noProof/>
            <w:webHidden/>
          </w:rPr>
          <w:t>4</w:t>
        </w:r>
        <w:r w:rsidR="004F3302">
          <w:rPr>
            <w:noProof/>
            <w:webHidden/>
          </w:rPr>
          <w:t>2</w:t>
        </w:r>
      </w:hyperlink>
    </w:p>
    <w:p w:rsidR="001C568D" w:rsidRPr="001C568D" w:rsidRDefault="00257A33" w:rsidP="008A4A33">
      <w:pPr>
        <w:pStyle w:val="TOC2"/>
        <w:tabs>
          <w:tab w:val="right" w:leader="dot" w:pos="9336"/>
        </w:tabs>
        <w:rPr>
          <w:noProof/>
        </w:rPr>
      </w:pPr>
      <w:hyperlink w:anchor="_Toc390600471" w:history="1">
        <w:r w:rsidR="001C568D" w:rsidRPr="001C568D">
          <w:rPr>
            <w:rStyle w:val="Hyperlink"/>
            <w:rFonts w:asciiTheme="majorBidi" w:hAnsiTheme="majorBidi" w:cstheme="majorBidi"/>
            <w:noProof/>
            <w:color w:val="auto"/>
            <w:u w:val="none"/>
          </w:rPr>
          <w:t>3.5.1. Choix de la signalisation</w:t>
        </w:r>
        <w:r w:rsidR="001C568D" w:rsidRPr="001C568D">
          <w:rPr>
            <w:noProof/>
            <w:webHidden/>
          </w:rPr>
          <w:tab/>
        </w:r>
        <w:r w:rsidR="008A4A33">
          <w:rPr>
            <w:noProof/>
            <w:webHidden/>
          </w:rPr>
          <w:t>45</w:t>
        </w:r>
      </w:hyperlink>
    </w:p>
    <w:p w:rsidR="001C568D" w:rsidRDefault="00257A33" w:rsidP="008A4A33">
      <w:hyperlink w:anchor="_Toc390600474" w:history="1">
        <w:r w:rsidR="001C568D" w:rsidRPr="001C568D">
          <w:rPr>
            <w:rStyle w:val="Hyperlink"/>
            <w:rFonts w:asciiTheme="majorBidi" w:hAnsiTheme="majorBidi" w:cstheme="majorBidi"/>
            <w:noProof/>
            <w:color w:val="auto"/>
            <w:u w:val="none"/>
          </w:rPr>
          <w:t>3.5.4. Marquage des voies de circulation</w:t>
        </w:r>
        <w:r w:rsidR="001C568D">
          <w:rPr>
            <w:rStyle w:val="Hyperlink"/>
            <w:rFonts w:asciiTheme="majorBidi" w:hAnsiTheme="majorBidi" w:cstheme="majorBidi"/>
            <w:noProof/>
            <w:color w:val="auto"/>
            <w:u w:val="none"/>
          </w:rPr>
          <w:t xml:space="preserve">………………………………………………………  </w:t>
        </w:r>
        <w:r w:rsidR="008A4A33">
          <w:rPr>
            <w:rStyle w:val="Hyperlink"/>
            <w:rFonts w:asciiTheme="majorBidi" w:hAnsiTheme="majorBidi" w:cstheme="majorBidi"/>
            <w:noProof/>
            <w:color w:val="auto"/>
            <w:u w:val="none"/>
          </w:rPr>
          <w:t>46</w:t>
        </w:r>
      </w:hyperlink>
    </w:p>
    <w:p w:rsidR="001C568D" w:rsidRPr="001C568D" w:rsidRDefault="001C568D" w:rsidP="001C568D"/>
    <w:p w:rsidR="001C568D" w:rsidRDefault="000C51E5" w:rsidP="008A4A33">
      <w:r>
        <w:t>Conclusion général…………………………………………………………………</w:t>
      </w:r>
      <w:r w:rsidR="008A4A33">
        <w:t>...</w:t>
      </w:r>
      <w:r w:rsidR="001C568D">
        <w:t>…</w:t>
      </w:r>
      <w:r w:rsidR="008A4A33">
        <w:t>47</w:t>
      </w:r>
    </w:p>
    <w:p w:rsidR="001C568D" w:rsidRDefault="001C568D" w:rsidP="001C568D"/>
    <w:p w:rsidR="001C568D" w:rsidRPr="001C568D" w:rsidRDefault="001C568D" w:rsidP="001C568D">
      <w:r w:rsidRPr="001C568D">
        <w:t>Bibliographie- web graphie</w:t>
      </w:r>
    </w:p>
    <w:p w:rsidR="001C568D" w:rsidRPr="001C568D" w:rsidRDefault="001C568D" w:rsidP="001C568D">
      <w:r w:rsidRPr="001C568D">
        <w:t>Annexe</w:t>
      </w:r>
    </w:p>
    <w:p w:rsidR="001C568D" w:rsidRPr="001C568D" w:rsidRDefault="001C568D" w:rsidP="001C568D">
      <w:r w:rsidRPr="001C568D">
        <w:t>Résume</w:t>
      </w:r>
    </w:p>
    <w:sectPr w:rsidR="001C568D" w:rsidRPr="001C568D" w:rsidSect="001C568D">
      <w:pgSz w:w="11906" w:h="16838" w:code="9"/>
      <w:pgMar w:top="1134" w:right="1134" w:bottom="1134" w:left="1134" w:header="709" w:footer="709" w:gutter="0"/>
      <w:paperSrc w:first="4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68D" w:rsidRDefault="001C568D" w:rsidP="001C568D">
      <w:r>
        <w:separator/>
      </w:r>
    </w:p>
  </w:endnote>
  <w:endnote w:type="continuationSeparator" w:id="0">
    <w:p w:rsidR="001C568D" w:rsidRDefault="001C568D" w:rsidP="001C5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68D" w:rsidRDefault="001C568D" w:rsidP="001C568D">
      <w:r>
        <w:separator/>
      </w:r>
    </w:p>
  </w:footnote>
  <w:footnote w:type="continuationSeparator" w:id="0">
    <w:p w:rsidR="001C568D" w:rsidRDefault="001C568D" w:rsidP="001C5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568D"/>
    <w:rsid w:val="0006484C"/>
    <w:rsid w:val="000C51E5"/>
    <w:rsid w:val="000D67DE"/>
    <w:rsid w:val="0016496F"/>
    <w:rsid w:val="001C568D"/>
    <w:rsid w:val="001C5D06"/>
    <w:rsid w:val="0022741B"/>
    <w:rsid w:val="00275F00"/>
    <w:rsid w:val="0036032D"/>
    <w:rsid w:val="003D45B9"/>
    <w:rsid w:val="004C47F0"/>
    <w:rsid w:val="004F3302"/>
    <w:rsid w:val="00560D8D"/>
    <w:rsid w:val="00594ABC"/>
    <w:rsid w:val="005F5056"/>
    <w:rsid w:val="006F690D"/>
    <w:rsid w:val="008A4A33"/>
    <w:rsid w:val="008D41C9"/>
    <w:rsid w:val="009046EF"/>
    <w:rsid w:val="00B818B6"/>
    <w:rsid w:val="00CD6DB4"/>
    <w:rsid w:val="00D4503A"/>
    <w:rsid w:val="00D73A15"/>
    <w:rsid w:val="00DA4523"/>
    <w:rsid w:val="00E14549"/>
    <w:rsid w:val="00F06BD3"/>
    <w:rsid w:val="00F47E5F"/>
    <w:rsid w:val="00F94135"/>
    <w:rsid w:val="00FA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68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7E5F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7E5F"/>
    <w:pPr>
      <w:spacing w:before="20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7E5F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7E5F"/>
    <w:pPr>
      <w:spacing w:line="271" w:lineRule="auto"/>
      <w:outlineLvl w:val="3"/>
    </w:pPr>
    <w:rPr>
      <w:b/>
      <w:bCs/>
      <w:spacing w:val="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7E5F"/>
    <w:pPr>
      <w:spacing w:line="271" w:lineRule="auto"/>
      <w:outlineLvl w:val="4"/>
    </w:pPr>
    <w:rPr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7E5F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7E5F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7E5F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7E5F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7E5F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7E5F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7E5F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7E5F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7E5F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7E5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7E5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7E5F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7E5F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47E5F"/>
    <w:pPr>
      <w:spacing w:after="300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7E5F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7E5F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7E5F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F47E5F"/>
    <w:rPr>
      <w:b/>
      <w:bCs/>
    </w:rPr>
  </w:style>
  <w:style w:type="character" w:styleId="Emphasis">
    <w:name w:val="Emphasis"/>
    <w:uiPriority w:val="20"/>
    <w:qFormat/>
    <w:rsid w:val="00F47E5F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F47E5F"/>
  </w:style>
  <w:style w:type="paragraph" w:styleId="ListParagraph">
    <w:name w:val="List Paragraph"/>
    <w:basedOn w:val="Normal"/>
    <w:uiPriority w:val="34"/>
    <w:qFormat/>
    <w:rsid w:val="00F47E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47E5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47E5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7E5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7E5F"/>
    <w:rPr>
      <w:i/>
      <w:iCs/>
    </w:rPr>
  </w:style>
  <w:style w:type="character" w:styleId="SubtleEmphasis">
    <w:name w:val="Subtle Emphasis"/>
    <w:uiPriority w:val="19"/>
    <w:qFormat/>
    <w:rsid w:val="00F47E5F"/>
    <w:rPr>
      <w:i/>
      <w:iCs/>
    </w:rPr>
  </w:style>
  <w:style w:type="character" w:styleId="IntenseEmphasis">
    <w:name w:val="Intense Emphasis"/>
    <w:uiPriority w:val="21"/>
    <w:qFormat/>
    <w:rsid w:val="00F47E5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47E5F"/>
    <w:rPr>
      <w:smallCaps/>
    </w:rPr>
  </w:style>
  <w:style w:type="character" w:styleId="IntenseReference">
    <w:name w:val="Intense Reference"/>
    <w:uiPriority w:val="32"/>
    <w:qFormat/>
    <w:rsid w:val="00F47E5F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F47E5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7E5F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1C568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C568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1C568D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1C56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Yasser</dc:creator>
  <cp:lastModifiedBy>PC</cp:lastModifiedBy>
  <cp:revision>6</cp:revision>
  <dcterms:created xsi:type="dcterms:W3CDTF">2014-06-15T13:06:00Z</dcterms:created>
  <dcterms:modified xsi:type="dcterms:W3CDTF">2024-06-17T21:19:00Z</dcterms:modified>
</cp:coreProperties>
</file>