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1F" w:rsidRDefault="000A031F" w:rsidP="00A87E92">
      <w:pPr>
        <w:pStyle w:val="TM1"/>
      </w:pPr>
    </w:p>
    <w:p w:rsidR="003872B1" w:rsidRPr="00A87E92" w:rsidRDefault="000A031F" w:rsidP="00A87E92">
      <w:pPr>
        <w:pStyle w:val="TM1"/>
      </w:pPr>
      <w:r w:rsidRPr="00A87E92">
        <w:t>INTRODUCTION GENERALE</w:t>
      </w:r>
      <w:r w:rsidRPr="00A87E92">
        <w:tab/>
        <w:t>03</w:t>
      </w:r>
    </w:p>
    <w:p w:rsidR="00DC426F" w:rsidRPr="003B3531" w:rsidRDefault="00DC426F" w:rsidP="00DC426F">
      <w:pPr>
        <w:rPr>
          <w:rFonts w:asciiTheme="majorBidi" w:hAnsiTheme="majorBidi" w:cstheme="majorBidi"/>
        </w:rPr>
      </w:pPr>
    </w:p>
    <w:p w:rsidR="003872B1" w:rsidRPr="003B3531" w:rsidRDefault="005B315D" w:rsidP="00A87E92">
      <w:pPr>
        <w:pStyle w:val="TM1"/>
      </w:pPr>
      <w:r w:rsidRPr="003B3531">
        <w:t>Chapitre 01</w:t>
      </w:r>
    </w:p>
    <w:p w:rsidR="00D67E34" w:rsidRPr="00A87E92" w:rsidRDefault="00AE0C5E" w:rsidP="00A87E92">
      <w:pPr>
        <w:pStyle w:val="TM1"/>
        <w:rPr>
          <w:rFonts w:eastAsiaTheme="minorEastAsia"/>
          <w:noProof/>
          <w:spacing w:val="0"/>
        </w:rPr>
      </w:pPr>
      <w:r w:rsidRPr="00AE0C5E">
        <w:rPr>
          <w:b/>
          <w:bCs/>
        </w:rPr>
        <w:fldChar w:fldCharType="begin"/>
      </w:r>
      <w:r w:rsidR="00D67E34" w:rsidRPr="003B3531">
        <w:instrText xml:space="preserve"> TOC \o "1-3" \h \z \u </w:instrText>
      </w:r>
      <w:r w:rsidRPr="00AE0C5E">
        <w:rPr>
          <w:b/>
          <w:bCs/>
        </w:rPr>
        <w:fldChar w:fldCharType="separate"/>
      </w:r>
      <w:hyperlink w:anchor="_Toc390591622" w:history="1">
        <w:r w:rsidR="00D67E34" w:rsidRPr="00A87E92">
          <w:rPr>
            <w:rStyle w:val="Lienhypertexte"/>
            <w:rFonts w:cstheme="majorBidi"/>
            <w:noProof/>
          </w:rPr>
          <w:t>1.1. SECTEUR SIDERURGIE / METALLURGIE</w:t>
        </w:r>
        <w:r w:rsidR="00D67E34" w:rsidRPr="00A87E92">
          <w:rPr>
            <w:noProof/>
            <w:webHidden/>
          </w:rPr>
          <w:tab/>
        </w:r>
        <w:r w:rsidR="00A87E92">
          <w:rPr>
            <w:noProof/>
            <w:webHidden/>
          </w:rPr>
          <w:t>04</w:t>
        </w:r>
      </w:hyperlink>
    </w:p>
    <w:p w:rsidR="00D67E34" w:rsidRPr="00A87E92" w:rsidRDefault="00AE0C5E" w:rsidP="00A87E92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23" w:history="1">
        <w:r w:rsidR="00D67E34" w:rsidRPr="00A87E92">
          <w:rPr>
            <w:rStyle w:val="Lienhypertexte"/>
            <w:rFonts w:asciiTheme="majorBidi" w:hAnsiTheme="majorBidi" w:cstheme="majorBidi"/>
            <w:noProof/>
          </w:rPr>
          <w:t>1.1.1. Les sociétés de gestion des participations (S.G.P).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04</w:t>
        </w:r>
      </w:hyperlink>
    </w:p>
    <w:p w:rsidR="00D67E34" w:rsidRPr="00A87E92" w:rsidRDefault="00AE0C5E" w:rsidP="00A87E92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24" w:history="1">
        <w:r w:rsidR="00D67E34" w:rsidRPr="00A87E92">
          <w:rPr>
            <w:rStyle w:val="Lienhypertexte"/>
            <w:rFonts w:asciiTheme="majorBidi" w:hAnsiTheme="majorBidi" w:cstheme="majorBidi"/>
            <w:noProof/>
          </w:rPr>
          <w:t>1.1.2. Les SGP du secteur sidérurgique et métallurgique.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04</w:t>
        </w:r>
      </w:hyperlink>
    </w:p>
    <w:p w:rsidR="00D67E34" w:rsidRPr="00A87E92" w:rsidRDefault="00AE0C5E" w:rsidP="00A87E92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25" w:history="1">
        <w:r w:rsidR="00D67E34" w:rsidRPr="00A87E92">
          <w:rPr>
            <w:rStyle w:val="Lienhypertexte"/>
            <w:rFonts w:asciiTheme="majorBidi" w:hAnsiTheme="majorBidi" w:cstheme="majorBidi"/>
            <w:noProof/>
          </w:rPr>
          <w:t>1.1.3. SGP/TRANSOLB- SPA.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04</w:t>
        </w:r>
      </w:hyperlink>
    </w:p>
    <w:p w:rsidR="00D67E34" w:rsidRPr="00A87E92" w:rsidRDefault="00AE0C5E" w:rsidP="00A87E92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26" w:history="1">
        <w:r w:rsidR="00D67E34" w:rsidRPr="00A87E92">
          <w:rPr>
            <w:rStyle w:val="Lienhypertexte"/>
            <w:rFonts w:asciiTheme="majorBidi" w:hAnsiTheme="majorBidi" w:cstheme="majorBidi"/>
            <w:noProof/>
          </w:rPr>
          <w:t>1.1.3.1.  Présentation.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04</w:t>
        </w:r>
      </w:hyperlink>
    </w:p>
    <w:p w:rsidR="00D67E34" w:rsidRPr="00A87E92" w:rsidRDefault="00AE0C5E" w:rsidP="00A87E92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27" w:history="1">
        <w:r w:rsidR="00D67E34" w:rsidRPr="00A87E92">
          <w:rPr>
            <w:rStyle w:val="Lienhypertexte"/>
            <w:rFonts w:asciiTheme="majorBidi" w:hAnsiTheme="majorBidi" w:cstheme="majorBidi"/>
            <w:noProof/>
          </w:rPr>
          <w:t>1.1.3.2.  Missions.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05</w:t>
        </w:r>
      </w:hyperlink>
    </w:p>
    <w:p w:rsidR="00D67E34" w:rsidRPr="00A87E92" w:rsidRDefault="00AE0C5E" w:rsidP="00A87E92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28" w:history="1">
        <w:r w:rsidR="00D67E34" w:rsidRPr="00A87E92">
          <w:rPr>
            <w:rStyle w:val="Lienhypertexte"/>
            <w:rFonts w:asciiTheme="majorBidi" w:hAnsiTheme="majorBidi" w:cstheme="majorBidi"/>
            <w:noProof/>
          </w:rPr>
          <w:t>1.1.3.3. Organisation.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05</w:t>
        </w:r>
      </w:hyperlink>
    </w:p>
    <w:p w:rsidR="00D67E34" w:rsidRPr="00A87E92" w:rsidRDefault="00AE0C5E" w:rsidP="00A87E92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29" w:history="1">
        <w:r w:rsidR="00D67E34" w:rsidRPr="00A87E92">
          <w:rPr>
            <w:rStyle w:val="Lienhypertexte"/>
            <w:rFonts w:asciiTheme="majorBidi" w:hAnsiTheme="majorBidi" w:cstheme="majorBidi"/>
            <w:noProof/>
          </w:rPr>
          <w:t>1.1.3.4. Les groupes gérés par TRANSOLB.[02]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05</w:t>
        </w:r>
      </w:hyperlink>
    </w:p>
    <w:p w:rsidR="00D67E34" w:rsidRPr="00A87E92" w:rsidRDefault="00AE0C5E" w:rsidP="00A87E92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30" w:history="1">
        <w:r w:rsidR="00D67E34" w:rsidRPr="00A87E92">
          <w:rPr>
            <w:rStyle w:val="Lienhypertexte"/>
            <w:rFonts w:asciiTheme="majorBidi" w:hAnsiTheme="majorBidi" w:cstheme="majorBidi"/>
            <w:noProof/>
          </w:rPr>
          <w:t>1.1.4. Groupe de FONDAL.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06</w:t>
        </w:r>
      </w:hyperlink>
    </w:p>
    <w:p w:rsidR="00D67E34" w:rsidRPr="00A87E92" w:rsidRDefault="00AE0C5E" w:rsidP="00A87E92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31" w:history="1">
        <w:r w:rsidR="00D67E34" w:rsidRPr="00A87E92">
          <w:rPr>
            <w:rStyle w:val="Lienhypertexte"/>
            <w:rFonts w:asciiTheme="majorBidi" w:hAnsiTheme="majorBidi" w:cstheme="majorBidi"/>
            <w:noProof/>
          </w:rPr>
          <w:t>1.1.4.1. Présentation.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06</w:t>
        </w:r>
      </w:hyperlink>
    </w:p>
    <w:p w:rsidR="00D67E34" w:rsidRPr="00A87E92" w:rsidRDefault="00AE0C5E" w:rsidP="00A87E92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32" w:history="1">
        <w:r w:rsidR="00D67E34" w:rsidRPr="00A87E92">
          <w:rPr>
            <w:rStyle w:val="Lienhypertexte"/>
            <w:rFonts w:asciiTheme="majorBidi" w:hAnsiTheme="majorBidi" w:cstheme="majorBidi"/>
            <w:noProof/>
            <w:lang w:bidi="ar-DZ"/>
          </w:rPr>
          <w:t>1.1.4.2. Organisation.</w:t>
        </w:r>
        <w:r w:rsidR="00D67E34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06</w:t>
        </w:r>
      </w:hyperlink>
    </w:p>
    <w:p w:rsidR="00D67E34" w:rsidRPr="00A87E92" w:rsidRDefault="00AE0C5E" w:rsidP="00A87E92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33" w:history="1">
        <w:r w:rsidR="00A87E92" w:rsidRPr="00A87E92">
          <w:rPr>
            <w:rStyle w:val="Lienhypertexte"/>
            <w:rFonts w:asciiTheme="majorBidi" w:hAnsiTheme="majorBidi" w:cstheme="majorBidi"/>
            <w:noProof/>
            <w:lang w:bidi="ar-DZ"/>
          </w:rPr>
          <w:t>1.1.5. historique</w:t>
        </w:r>
        <w:r w:rsidR="00A87E92" w:rsidRPr="00A87E92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07</w:t>
        </w:r>
      </w:hyperlink>
    </w:p>
    <w:p w:rsidR="00D67E34" w:rsidRPr="003B3531" w:rsidRDefault="00AE0C5E" w:rsidP="00A87E92">
      <w:pPr>
        <w:pStyle w:val="TM1"/>
        <w:rPr>
          <w:rFonts w:eastAsiaTheme="minorEastAsia"/>
          <w:noProof/>
          <w:spacing w:val="0"/>
        </w:rPr>
      </w:pPr>
      <w:hyperlink w:anchor="_Toc390591634" w:history="1">
        <w:r w:rsidR="00A87E92" w:rsidRPr="00A87E92">
          <w:rPr>
            <w:rStyle w:val="Lienhypertexte"/>
            <w:rFonts w:cstheme="majorBidi"/>
            <w:noProof/>
          </w:rPr>
          <w:t>1.2. la  filiale de alfet.</w:t>
        </w:r>
        <w:r w:rsidR="00A87E92" w:rsidRPr="00A87E92">
          <w:rPr>
            <w:noProof/>
            <w:webHidden/>
          </w:rPr>
          <w:tab/>
        </w:r>
        <w:r w:rsidR="00A87E92">
          <w:rPr>
            <w:noProof/>
            <w:webHidden/>
          </w:rPr>
          <w:t>07</w:t>
        </w:r>
      </w:hyperlink>
    </w:p>
    <w:p w:rsidR="00D67E34" w:rsidRPr="003B3531" w:rsidRDefault="00AE0C5E" w:rsidP="00A87E92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35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1.2.1. Présentation.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07</w:t>
        </w:r>
      </w:hyperlink>
    </w:p>
    <w:p w:rsidR="00D67E34" w:rsidRPr="003B3531" w:rsidRDefault="00AE0C5E" w:rsidP="00A87E92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36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1.2.2. Identification.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  <w:r w:rsidR="00540930">
          <w:rPr>
            <w:rFonts w:asciiTheme="majorBidi" w:hAnsiTheme="majorBidi" w:cstheme="majorBidi"/>
            <w:noProof/>
            <w:webHidden/>
          </w:rPr>
          <w:t>08</w:t>
        </w:r>
      </w:hyperlink>
    </w:p>
    <w:p w:rsidR="00D67E34" w:rsidRPr="003B3531" w:rsidRDefault="00AE0C5E" w:rsidP="00540930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37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1.2.3. Domaines d'activités.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</w:hyperlink>
      <w:r w:rsidR="00540930">
        <w:t>08</w:t>
      </w:r>
    </w:p>
    <w:p w:rsidR="00D67E34" w:rsidRPr="003B3531" w:rsidRDefault="00AE0C5E" w:rsidP="00540930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38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1.2.4. Clients et marchés d’ALFET.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</w:hyperlink>
      <w:r w:rsidR="00540930">
        <w:t>08</w:t>
      </w:r>
    </w:p>
    <w:p w:rsidR="00D67E34" w:rsidRPr="003B3531" w:rsidRDefault="00AE0C5E" w:rsidP="00540930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39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1.2.5. Organisation interne de la filiale ALFET.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</w:hyperlink>
      <w:r w:rsidR="00540930">
        <w:t>10</w:t>
      </w:r>
    </w:p>
    <w:p w:rsidR="00D67E34" w:rsidRPr="003B3531" w:rsidRDefault="00AE0C5E" w:rsidP="00540930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40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1.2.5.1. Structure organisationnelle.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  <w:r w:rsidR="00540930">
          <w:rPr>
            <w:rFonts w:asciiTheme="majorBidi" w:hAnsiTheme="majorBidi" w:cstheme="majorBidi"/>
            <w:noProof/>
            <w:webHidden/>
          </w:rPr>
          <w:t>10</w:t>
        </w:r>
      </w:hyperlink>
    </w:p>
    <w:p w:rsidR="00D67E34" w:rsidRPr="003B3531" w:rsidRDefault="00AE0C5E" w:rsidP="00540930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41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1.2.5.2. Organigramme de la filiale ALFET.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  <w:r w:rsidR="00540930">
          <w:rPr>
            <w:rFonts w:asciiTheme="majorBidi" w:hAnsiTheme="majorBidi" w:cstheme="majorBidi"/>
            <w:noProof/>
            <w:webHidden/>
          </w:rPr>
          <w:t>11</w:t>
        </w:r>
      </w:hyperlink>
    </w:p>
    <w:p w:rsidR="00D67E34" w:rsidRPr="003B3531" w:rsidRDefault="00AE0C5E" w:rsidP="00540930">
      <w:pPr>
        <w:pStyle w:val="TM2"/>
        <w:tabs>
          <w:tab w:val="right" w:leader="dot" w:pos="9628"/>
        </w:tabs>
        <w:rPr>
          <w:rFonts w:asciiTheme="majorBidi" w:eastAsiaTheme="minorEastAsia" w:hAnsiTheme="majorBidi" w:cstheme="majorBidi"/>
          <w:noProof/>
          <w:spacing w:val="0"/>
        </w:rPr>
      </w:pPr>
      <w:hyperlink w:anchor="_Toc390591642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1.2.6. Les moyennes matérielles de la production.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1</w:t>
        </w:r>
        <w:r w:rsidR="00540930">
          <w:rPr>
            <w:rFonts w:asciiTheme="majorBidi" w:hAnsiTheme="majorBidi" w:cstheme="majorBidi"/>
            <w:noProof/>
            <w:webHidden/>
          </w:rPr>
          <w:t>2</w:t>
        </w:r>
      </w:hyperlink>
    </w:p>
    <w:p w:rsidR="00D67E34" w:rsidRPr="003B3531" w:rsidRDefault="00AE0C5E" w:rsidP="00540930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43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1.2.6.2. Fonderie acier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1</w:t>
        </w:r>
        <w:r w:rsidR="00540930">
          <w:rPr>
            <w:rFonts w:asciiTheme="majorBidi" w:hAnsiTheme="majorBidi" w:cstheme="majorBidi"/>
            <w:noProof/>
            <w:webHidden/>
          </w:rPr>
          <w:t>2</w:t>
        </w:r>
      </w:hyperlink>
    </w:p>
    <w:p w:rsidR="00D67E34" w:rsidRPr="003B3531" w:rsidRDefault="00AE0C5E" w:rsidP="00A87E92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44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1.2.6.1. Fonderie fonte.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12</w:t>
        </w:r>
      </w:hyperlink>
    </w:p>
    <w:p w:rsidR="00D67E34" w:rsidRPr="003B3531" w:rsidRDefault="00AE0C5E" w:rsidP="00A87E92">
      <w:pPr>
        <w:pStyle w:val="TM3"/>
        <w:tabs>
          <w:tab w:val="right" w:leader="dot" w:pos="9628"/>
        </w:tabs>
        <w:rPr>
          <w:rFonts w:asciiTheme="majorBidi" w:hAnsiTheme="majorBidi" w:cstheme="majorBidi"/>
          <w:noProof/>
        </w:rPr>
      </w:pPr>
      <w:hyperlink w:anchor="_Toc390591645" w:history="1">
        <w:r w:rsidR="00D67E34" w:rsidRPr="003B3531">
          <w:rPr>
            <w:rStyle w:val="Lienhypertexte"/>
            <w:rFonts w:asciiTheme="majorBidi" w:hAnsiTheme="majorBidi" w:cstheme="majorBidi"/>
            <w:noProof/>
          </w:rPr>
          <w:t>1.2.6.3. Les moyens parties communes.</w:t>
        </w:r>
        <w:r w:rsidR="00D67E34" w:rsidRPr="003B3531">
          <w:rPr>
            <w:rFonts w:asciiTheme="majorBidi" w:hAnsiTheme="majorBidi" w:cstheme="majorBidi"/>
            <w:noProof/>
            <w:webHidden/>
          </w:rPr>
          <w:tab/>
        </w:r>
        <w:r w:rsidR="00A87E92">
          <w:rPr>
            <w:rFonts w:asciiTheme="majorBidi" w:hAnsiTheme="majorBidi" w:cstheme="majorBidi"/>
            <w:noProof/>
            <w:webHidden/>
          </w:rPr>
          <w:t>13</w:t>
        </w:r>
      </w:hyperlink>
    </w:p>
    <w:p w:rsidR="00D67E34" w:rsidRDefault="00AE0C5E" w:rsidP="00D67E34">
      <w:pPr>
        <w:pStyle w:val="En-ttedetabledesmatires"/>
      </w:pPr>
      <w:r w:rsidRPr="003B3531">
        <w:rPr>
          <w:rFonts w:asciiTheme="majorBidi" w:hAnsiTheme="majorBidi"/>
          <w:sz w:val="24"/>
          <w:szCs w:val="24"/>
          <w:lang w:val="fr-FR"/>
        </w:rPr>
        <w:fldChar w:fldCharType="end"/>
      </w:r>
    </w:p>
    <w:p w:rsidR="001C5D06" w:rsidRDefault="001C5D06"/>
    <w:p w:rsidR="003872B1" w:rsidRDefault="003872B1"/>
    <w:p w:rsidR="003872B1" w:rsidRDefault="003872B1"/>
    <w:p w:rsidR="003872B1" w:rsidRDefault="003872B1"/>
    <w:p w:rsidR="003872B1" w:rsidRDefault="003872B1"/>
    <w:p w:rsidR="009459B6" w:rsidRDefault="009459B6"/>
    <w:p w:rsidR="009459B6" w:rsidRDefault="009459B6"/>
    <w:p w:rsidR="009459B6" w:rsidRDefault="009459B6" w:rsidP="000A031F"/>
    <w:p w:rsidR="009459B6" w:rsidRDefault="009459B6" w:rsidP="000A031F"/>
    <w:sectPr w:rsidR="009459B6" w:rsidSect="009459B6">
      <w:headerReference w:type="default" r:id="rId6"/>
      <w:footerReference w:type="default" r:id="rId7"/>
      <w:pgSz w:w="11906" w:h="16838" w:code="9"/>
      <w:pgMar w:top="1134" w:right="1134" w:bottom="1134" w:left="1134" w:header="709" w:footer="709" w:gutter="0"/>
      <w:paperSrc w:first="4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6B8" w:rsidRDefault="009D56B8" w:rsidP="005B315D">
      <w:r>
        <w:separator/>
      </w:r>
    </w:p>
  </w:endnote>
  <w:endnote w:type="continuationSeparator" w:id="1">
    <w:p w:rsidR="009D56B8" w:rsidRDefault="009D56B8" w:rsidP="005B3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31F" w:rsidRDefault="000A031F" w:rsidP="000A031F">
    <w:pPr>
      <w:pStyle w:val="Pieddepage"/>
      <w:pBdr>
        <w:bottom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6B8" w:rsidRDefault="009D56B8" w:rsidP="005B315D">
      <w:r>
        <w:separator/>
      </w:r>
    </w:p>
  </w:footnote>
  <w:footnote w:type="continuationSeparator" w:id="1">
    <w:p w:rsidR="009D56B8" w:rsidRDefault="009D56B8" w:rsidP="005B3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5D" w:rsidRDefault="005B315D" w:rsidP="000A031F">
    <w:pPr>
      <w:pStyle w:val="En-tte"/>
      <w:pBdr>
        <w:bottom w:val="single" w:sz="4" w:space="1" w:color="auto"/>
      </w:pBdr>
    </w:pPr>
    <w:r>
      <w:t>SOMMAIRE</w:t>
    </w:r>
  </w:p>
  <w:p w:rsidR="000A031F" w:rsidRDefault="000A031F" w:rsidP="000A031F">
    <w:pPr>
      <w:pStyle w:val="En-tte"/>
      <w:pBdr>
        <w:bottom w:val="single" w:sz="4" w:space="1" w:color="auto"/>
      </w:pBdr>
    </w:pPr>
  </w:p>
  <w:p w:rsidR="005B315D" w:rsidRDefault="005B315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E34"/>
    <w:rsid w:val="0006484C"/>
    <w:rsid w:val="000A031F"/>
    <w:rsid w:val="000B5A23"/>
    <w:rsid w:val="000D67DE"/>
    <w:rsid w:val="001C5D06"/>
    <w:rsid w:val="0022741B"/>
    <w:rsid w:val="00275F00"/>
    <w:rsid w:val="003872B1"/>
    <w:rsid w:val="003B3531"/>
    <w:rsid w:val="003D45B9"/>
    <w:rsid w:val="00465162"/>
    <w:rsid w:val="00540930"/>
    <w:rsid w:val="00560D8D"/>
    <w:rsid w:val="005769F8"/>
    <w:rsid w:val="00594ABC"/>
    <w:rsid w:val="005B315D"/>
    <w:rsid w:val="005F5056"/>
    <w:rsid w:val="006F690D"/>
    <w:rsid w:val="007129A4"/>
    <w:rsid w:val="008572EA"/>
    <w:rsid w:val="009459B6"/>
    <w:rsid w:val="009D56B8"/>
    <w:rsid w:val="00A87E92"/>
    <w:rsid w:val="00AE0C5E"/>
    <w:rsid w:val="00B818B6"/>
    <w:rsid w:val="00CD6DB4"/>
    <w:rsid w:val="00D67E34"/>
    <w:rsid w:val="00D73A15"/>
    <w:rsid w:val="00DC426F"/>
    <w:rsid w:val="00E14549"/>
    <w:rsid w:val="00E9285B"/>
    <w:rsid w:val="00F06BD3"/>
    <w:rsid w:val="00F47E5F"/>
    <w:rsid w:val="00F86CAA"/>
    <w:rsid w:val="00F94135"/>
    <w:rsid w:val="00FA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34"/>
    <w:pPr>
      <w:spacing w:line="240" w:lineRule="auto"/>
      <w:jc w:val="center"/>
    </w:pPr>
    <w:rPr>
      <w:rFonts w:ascii="Times New Roman" w:eastAsia="Times New Roman" w:hAnsi="Times New Roman" w:cs="Times New Roman"/>
      <w:spacing w:val="-5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47E5F"/>
    <w:pPr>
      <w:spacing w:before="480" w:line="360" w:lineRule="auto"/>
      <w:contextualSpacing/>
      <w:jc w:val="both"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E5F"/>
    <w:pPr>
      <w:spacing w:before="200" w:line="271" w:lineRule="auto"/>
      <w:jc w:val="both"/>
      <w:outlineLvl w:val="1"/>
    </w:pPr>
    <w:rPr>
      <w:rFonts w:asciiTheme="majorHAnsi" w:eastAsiaTheme="minorHAnsi" w:hAnsiTheme="majorHAnsi" w:cstheme="majorBidi"/>
      <w:smallCaps/>
      <w:spacing w:val="0"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5F"/>
    <w:pPr>
      <w:spacing w:before="200" w:line="271" w:lineRule="auto"/>
      <w:jc w:val="both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E5F"/>
    <w:pPr>
      <w:spacing w:line="271" w:lineRule="auto"/>
      <w:jc w:val="both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E5F"/>
    <w:pPr>
      <w:spacing w:line="271" w:lineRule="auto"/>
      <w:jc w:val="both"/>
      <w:outlineLvl w:val="4"/>
    </w:pPr>
    <w:rPr>
      <w:rFonts w:asciiTheme="majorHAnsi" w:eastAsiaTheme="minorHAnsi" w:hAnsiTheme="majorHAnsi" w:cstheme="majorBidi"/>
      <w:i/>
      <w:iCs/>
      <w:spacing w:val="0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E5F"/>
    <w:pPr>
      <w:shd w:val="clear" w:color="auto" w:fill="FFFFFF" w:themeFill="background1"/>
      <w:spacing w:line="271" w:lineRule="auto"/>
      <w:jc w:val="both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E5F"/>
    <w:pPr>
      <w:spacing w:line="360" w:lineRule="auto"/>
      <w:jc w:val="both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pacing w:val="0"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E5F"/>
    <w:pPr>
      <w:spacing w:line="360" w:lineRule="auto"/>
      <w:jc w:val="both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pacing w:val="0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E5F"/>
    <w:pPr>
      <w:spacing w:line="271" w:lineRule="auto"/>
      <w:jc w:val="both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pacing w:val="0"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E5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47E5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47E5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47E5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7E5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47E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47E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47E5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7E5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47E5F"/>
    <w:pPr>
      <w:spacing w:after="300" w:line="360" w:lineRule="auto"/>
      <w:contextualSpacing/>
      <w:jc w:val="both"/>
    </w:pPr>
    <w:rPr>
      <w:rFonts w:asciiTheme="majorHAnsi" w:eastAsiaTheme="minorHAnsi" w:hAnsiTheme="majorHAnsi" w:cstheme="majorBidi"/>
      <w:smallCaps/>
      <w:spacing w:val="0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F47E5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E5F"/>
    <w:pPr>
      <w:spacing w:line="360" w:lineRule="auto"/>
      <w:jc w:val="both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47E5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47E5F"/>
    <w:rPr>
      <w:b/>
      <w:bCs/>
    </w:rPr>
  </w:style>
  <w:style w:type="character" w:styleId="Accentuation">
    <w:name w:val="Emphasis"/>
    <w:uiPriority w:val="20"/>
    <w:qFormat/>
    <w:rsid w:val="00F47E5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47E5F"/>
    <w:pPr>
      <w:spacing w:line="360" w:lineRule="auto"/>
      <w:jc w:val="both"/>
    </w:pPr>
    <w:rPr>
      <w:rFonts w:asciiTheme="majorHAnsi" w:eastAsiaTheme="minorHAnsi" w:hAnsiTheme="majorHAnsi" w:cstheme="majorBidi"/>
      <w:spacing w:val="0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F47E5F"/>
    <w:pPr>
      <w:spacing w:line="360" w:lineRule="auto"/>
      <w:ind w:left="720"/>
      <w:contextualSpacing/>
      <w:jc w:val="both"/>
    </w:pPr>
    <w:rPr>
      <w:rFonts w:asciiTheme="majorHAnsi" w:eastAsiaTheme="minorHAnsi" w:hAnsiTheme="majorHAnsi" w:cstheme="majorBidi"/>
      <w:spacing w:val="0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47E5F"/>
    <w:pPr>
      <w:spacing w:line="360" w:lineRule="auto"/>
      <w:jc w:val="both"/>
    </w:pPr>
    <w:rPr>
      <w:rFonts w:asciiTheme="majorHAnsi" w:eastAsiaTheme="minorHAnsi" w:hAnsiTheme="majorHAnsi" w:cstheme="majorBidi"/>
      <w:i/>
      <w:iCs/>
      <w:spacing w:val="0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F47E5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E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pacing w:val="0"/>
      <w:sz w:val="22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E5F"/>
    <w:rPr>
      <w:i/>
      <w:iCs/>
    </w:rPr>
  </w:style>
  <w:style w:type="character" w:styleId="Emphaseple">
    <w:name w:val="Subtle Emphasis"/>
    <w:uiPriority w:val="19"/>
    <w:qFormat/>
    <w:rsid w:val="00F47E5F"/>
    <w:rPr>
      <w:i/>
      <w:iCs/>
    </w:rPr>
  </w:style>
  <w:style w:type="character" w:styleId="Emphaseintense">
    <w:name w:val="Intense Emphasis"/>
    <w:uiPriority w:val="21"/>
    <w:qFormat/>
    <w:rsid w:val="00F47E5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47E5F"/>
    <w:rPr>
      <w:smallCaps/>
    </w:rPr>
  </w:style>
  <w:style w:type="character" w:styleId="Rfrenceintense">
    <w:name w:val="Intense Reference"/>
    <w:uiPriority w:val="32"/>
    <w:qFormat/>
    <w:rsid w:val="00F47E5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47E5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47E5F"/>
    <w:pPr>
      <w:outlineLvl w:val="9"/>
    </w:pPr>
  </w:style>
  <w:style w:type="character" w:styleId="Lienhypertexte">
    <w:name w:val="Hyperlink"/>
    <w:uiPriority w:val="99"/>
    <w:rsid w:val="00D67E34"/>
    <w:rPr>
      <w:rFonts w:cs="Times New Roman"/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A87E92"/>
    <w:pPr>
      <w:tabs>
        <w:tab w:val="right" w:leader="dot" w:pos="9628"/>
      </w:tabs>
      <w:spacing w:after="100"/>
    </w:pPr>
    <w:rPr>
      <w:rFonts w:asciiTheme="majorBidi" w:hAnsiTheme="majorBidi" w:cstheme="majorBidi"/>
    </w:rPr>
  </w:style>
  <w:style w:type="paragraph" w:styleId="TM2">
    <w:name w:val="toc 2"/>
    <w:basedOn w:val="Normal"/>
    <w:next w:val="Normal"/>
    <w:autoRedefine/>
    <w:uiPriority w:val="39"/>
    <w:unhideWhenUsed/>
    <w:rsid w:val="00D67E34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D67E34"/>
    <w:pPr>
      <w:spacing w:after="100"/>
      <w:ind w:left="4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67E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E34"/>
    <w:rPr>
      <w:rFonts w:ascii="Tahoma" w:eastAsia="Times New Roman" w:hAnsi="Tahoma" w:cs="Tahoma"/>
      <w:spacing w:val="-5"/>
      <w:sz w:val="16"/>
      <w:szCs w:val="16"/>
      <w:lang w:val="fr-FR"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5B315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B315D"/>
    <w:rPr>
      <w:rFonts w:ascii="Times New Roman" w:eastAsia="Times New Roman" w:hAnsi="Times New Roman" w:cs="Times New Roman"/>
      <w:spacing w:val="-5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5B315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315D"/>
    <w:rPr>
      <w:rFonts w:ascii="Times New Roman" w:eastAsia="Times New Roman" w:hAnsi="Times New Roman" w:cs="Times New Roman"/>
      <w:spacing w:val="-5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Yasser</cp:lastModifiedBy>
  <cp:revision>3</cp:revision>
  <dcterms:created xsi:type="dcterms:W3CDTF">2014-06-15T10:42:00Z</dcterms:created>
  <dcterms:modified xsi:type="dcterms:W3CDTF">2014-06-18T01:46:00Z</dcterms:modified>
</cp:coreProperties>
</file>