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4D0" w:rsidRPr="002725F5" w:rsidRDefault="00FA44D0" w:rsidP="008E2DB5">
      <w:pPr>
        <w:pStyle w:val="TM1"/>
      </w:pPr>
      <w:bookmarkStart w:id="0" w:name="_GoBack"/>
      <w:bookmarkEnd w:id="0"/>
      <w:r w:rsidRPr="002725F5">
        <w:t>Chapitre I : les cellules photovoltaïques</w:t>
      </w:r>
    </w:p>
    <w:p w:rsidR="00FA44D0" w:rsidRPr="008E2DB5" w:rsidRDefault="00FA44D0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r w:rsidRPr="008E2DB5">
        <w:fldChar w:fldCharType="begin"/>
      </w:r>
      <w:r w:rsidRPr="008E2DB5">
        <w:instrText xml:space="preserve"> TOC \o "1-3" \h \z \u </w:instrText>
      </w:r>
      <w:r w:rsidRPr="008E2DB5">
        <w:fldChar w:fldCharType="separate"/>
      </w:r>
      <w:hyperlink w:anchor="_Toc12990151" w:history="1"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I.1 : spectre solaire</w:t>
        </w:r>
        <w:r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7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2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Figure</w:t>
        </w:r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 xml:space="preserve"> </w:t>
        </w:r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 xml:space="preserve">I.2: </w:t>
        </w:r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  <w:highlight w:val="white"/>
            <w:lang w:val="fr"/>
          </w:rPr>
          <w:t>Structure en bande dans un isolant, un semi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  <w:highlight w:val="white"/>
            <w:lang w:val="fr"/>
          </w:rPr>
          <w:t>-conducteur et un conducteur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8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3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Figure.I.3 : Transitions bande à bande dans un semi-conducteur (a) à bande interdite directe et (b) à bande interdite indirecte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9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4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Figure.I.4 : Structure et diagramme de bande d’une cellule solaire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10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5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I.5: Schéma de principe de la conversion photoélectrique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11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6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I.6 : Caractéristique d’une cellule photovoltaïque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13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7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I.7.a : cellules photovoltaïques 1ères génération monocristalline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16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8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I.7.b : cellules photovoltaïques 1ères génération poly-cristalline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17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59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I.8 : les cellules photovoltaïques 2èmes génération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17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60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I.9 : les cellules photovoltaïques 3èmes génération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18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61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I.10 : Schéma de principe d’une cellule à base a-SI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22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rFonts w:eastAsiaTheme="minorEastAsia"/>
          <w:b w:val="0"/>
          <w:bCs w:val="0"/>
          <w:noProof/>
          <w:lang w:eastAsia="fr-FR"/>
        </w:rPr>
      </w:pPr>
      <w:hyperlink w:anchor="_Toc12990162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I.11 : Schéma de principe d’une cellule à base de CIGS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23</w:t>
        </w:r>
      </w:hyperlink>
    </w:p>
    <w:p w:rsidR="00FA44D0" w:rsidRPr="008E2DB5" w:rsidRDefault="005A4578" w:rsidP="006D5CB4">
      <w:pPr>
        <w:pStyle w:val="TM1"/>
        <w:spacing w:after="120"/>
        <w:jc w:val="both"/>
        <w:rPr>
          <w:b w:val="0"/>
          <w:bCs w:val="0"/>
          <w:noProof/>
        </w:rPr>
      </w:pPr>
      <w:hyperlink w:anchor="_Toc12990163" w:history="1">
        <w:r w:rsidR="00FA44D0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I.12: Schéma de principe d’une cellule à base de CdTe</w:t>
        </w:r>
        <w:r w:rsidR="00FA44D0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26</w:t>
        </w:r>
      </w:hyperlink>
    </w:p>
    <w:p w:rsidR="00CB245E" w:rsidRPr="008E2DB5" w:rsidRDefault="00CB245E" w:rsidP="008E2DB5">
      <w:pPr>
        <w:pStyle w:val="En-tte"/>
        <w:spacing w:line="360" w:lineRule="auto"/>
        <w:jc w:val="center"/>
        <w:rPr>
          <w:rFonts w:asciiTheme="majorHAnsi" w:eastAsiaTheme="majorEastAsia" w:hAnsiTheme="majorHAnsi" w:cs="Times New Roman"/>
          <w:b/>
          <w:bCs/>
          <w:sz w:val="28"/>
          <w:szCs w:val="28"/>
        </w:rPr>
      </w:pPr>
      <w:r w:rsidRPr="008E2DB5">
        <w:rPr>
          <w:rFonts w:asciiTheme="majorBidi" w:hAnsiTheme="majorBidi" w:cstheme="majorBidi"/>
          <w:b/>
          <w:bCs/>
          <w:sz w:val="28"/>
          <w:szCs w:val="28"/>
        </w:rPr>
        <w:t>Chapitre II : La pulvérisation cathodiqu</w:t>
      </w:r>
      <w:r w:rsidRPr="008E2DB5">
        <w:rPr>
          <w:rFonts w:ascii="Times New Roman" w:hAnsi="Times New Roman" w:cs="Times New Roman"/>
          <w:b/>
          <w:bCs/>
          <w:sz w:val="28"/>
          <w:szCs w:val="28"/>
        </w:rPr>
        <w:t>e</w:t>
      </w:r>
    </w:p>
    <w:p w:rsidR="006317FC" w:rsidRPr="008E2DB5" w:rsidRDefault="006317FC" w:rsidP="006D5CB4">
      <w:pPr>
        <w:pStyle w:val="TM1"/>
        <w:spacing w:after="120"/>
        <w:jc w:val="both"/>
        <w:rPr>
          <w:b w:val="0"/>
          <w:bCs w:val="0"/>
          <w:noProof/>
        </w:rPr>
      </w:pPr>
      <w:r w:rsidRPr="008E2DB5">
        <w:rPr>
          <w:b w:val="0"/>
          <w:bCs w:val="0"/>
        </w:rPr>
        <w:fldChar w:fldCharType="begin"/>
      </w:r>
      <w:r w:rsidRPr="008E2DB5">
        <w:rPr>
          <w:b w:val="0"/>
          <w:bCs w:val="0"/>
        </w:rPr>
        <w:instrText xml:space="preserve"> TOC \o "1-3" \h \z \u </w:instrText>
      </w:r>
      <w:r w:rsidRPr="008E2DB5">
        <w:rPr>
          <w:b w:val="0"/>
          <w:bCs w:val="0"/>
        </w:rPr>
        <w:fldChar w:fldCharType="separate"/>
      </w:r>
      <w:hyperlink w:anchor="_Toc12990758" w:history="1">
        <w:r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Figure II.1 : Méthodes générales de dép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ôt des couches minces sous vide</w:t>
        </w:r>
        <w:r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30</w:t>
        </w:r>
      </w:hyperlink>
    </w:p>
    <w:p w:rsidR="006317FC" w:rsidRPr="008E2DB5" w:rsidRDefault="005A4578" w:rsidP="00F410BB">
      <w:pPr>
        <w:pStyle w:val="TM1"/>
        <w:spacing w:after="120"/>
        <w:jc w:val="both"/>
        <w:rPr>
          <w:b w:val="0"/>
          <w:bCs w:val="0"/>
          <w:noProof/>
        </w:rPr>
      </w:pPr>
      <w:hyperlink w:anchor="_Toc12990759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 xml:space="preserve">Figure II.2 : </w:t>
        </w:r>
        <w:r w:rsidR="00F410BB" w:rsidRPr="00F410BB">
          <w:rPr>
            <w:rFonts w:cs="Times New Roman"/>
            <w:b w:val="0"/>
            <w:bCs w:val="0"/>
            <w:sz w:val="24"/>
            <w:szCs w:val="24"/>
          </w:rPr>
          <w:t>Un système de pulvérisation AJA Orion dans les installations scientifiques et technologiques Cornell NanoScale 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31</w:t>
        </w:r>
      </w:hyperlink>
    </w:p>
    <w:p w:rsidR="006317FC" w:rsidRPr="008E2DB5" w:rsidRDefault="005A4578" w:rsidP="006D5CB4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0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Figure</w:t>
        </w:r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 xml:space="preserve"> </w:t>
        </w:r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II.3 : Principe d’une installation de dépôt p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ar pulvérisation cathodique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32</w:t>
        </w:r>
      </w:hyperlink>
    </w:p>
    <w:p w:rsidR="006317FC" w:rsidRPr="008E2DB5" w:rsidRDefault="005A4578" w:rsidP="006D5CB4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1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II.4 : Illustration des interactions ion/solide à basse et haute énergie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33</w:t>
        </w:r>
      </w:hyperlink>
    </w:p>
    <w:p w:rsidR="006317FC" w:rsidRPr="008E2DB5" w:rsidRDefault="005A4578" w:rsidP="006D5CB4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2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 xml:space="preserve">Figure II.5 : Modélisation 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  <w:lang w:val="fr"/>
          </w:rPr>
          <w:t>de la cascade de collisions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34</w:t>
        </w:r>
      </w:hyperlink>
    </w:p>
    <w:p w:rsidR="006317FC" w:rsidRPr="008E2DB5" w:rsidRDefault="005A4578" w:rsidP="006D5CB4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3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II.6 : Principe de la pulvérisati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</w:rPr>
          <w:t>on diode à tension continue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6D5CB4">
          <w:rPr>
            <w:rFonts w:hint="cs"/>
            <w:b w:val="0"/>
            <w:bCs w:val="0"/>
            <w:noProof/>
            <w:webHidden/>
            <w:rtl/>
          </w:rPr>
          <w:t>36</w:t>
        </w:r>
      </w:hyperlink>
    </w:p>
    <w:p w:rsidR="006317FC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4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II.7 : Sch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</w:rPr>
          <w:t>éma d’une cathode magnétron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37</w:t>
        </w:r>
      </w:hyperlink>
    </w:p>
    <w:p w:rsidR="006317FC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5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II.8 : Principe de la pulvérisatio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</w:rPr>
          <w:t>n cathodique radiofréquence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38</w:t>
        </w:r>
      </w:hyperlink>
    </w:p>
    <w:p w:rsidR="006317FC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7" w:history="1">
        <w:r w:rsidR="00213E36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II.9</w:t>
        </w:r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 xml:space="preserve"> : Apparence du tell</w:t>
        </w:r>
        <w:r w:rsidR="00822B4B" w:rsidRPr="008E2DB5">
          <w:rPr>
            <w:rStyle w:val="Lienhypertexte"/>
            <w:b w:val="0"/>
            <w:bCs w:val="0"/>
            <w:noProof/>
            <w:sz w:val="24"/>
            <w:szCs w:val="24"/>
          </w:rPr>
          <w:t>urure de cadmium noire-gris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40</w:t>
        </w:r>
      </w:hyperlink>
    </w:p>
    <w:p w:rsidR="006317FC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768" w:history="1"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II.</w:t>
        </w:r>
        <w:r w:rsidR="00213E36" w:rsidRPr="008E2DB5">
          <w:rPr>
            <w:rStyle w:val="Lienhypertexte"/>
            <w:b w:val="0"/>
            <w:bCs w:val="0"/>
            <w:noProof/>
            <w:sz w:val="24"/>
            <w:szCs w:val="24"/>
          </w:rPr>
          <w:t>10</w:t>
        </w:r>
        <w:r w:rsidR="006317FC" w:rsidRPr="008E2DB5">
          <w:rPr>
            <w:rStyle w:val="Lienhypertexte"/>
            <w:b w:val="0"/>
            <w:bCs w:val="0"/>
            <w:noProof/>
            <w:sz w:val="24"/>
            <w:szCs w:val="24"/>
          </w:rPr>
          <w:t> : Structure cubique du tellurure de cadmium</w:t>
        </w:r>
        <w:r w:rsidR="006317FC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41</w:t>
        </w:r>
      </w:hyperlink>
    </w:p>
    <w:p w:rsidR="00CB245E" w:rsidRPr="008E2DB5" w:rsidRDefault="006317FC" w:rsidP="008E2DB5">
      <w:pPr>
        <w:pStyle w:val="TM1"/>
      </w:pPr>
      <w:r w:rsidRPr="008E2DB5">
        <w:rPr>
          <w:b w:val="0"/>
          <w:bCs w:val="0"/>
        </w:rPr>
        <w:fldChar w:fldCharType="end"/>
      </w:r>
      <w:r w:rsidR="00CB245E" w:rsidRPr="008E2DB5">
        <w:rPr>
          <w:sz w:val="24"/>
          <w:szCs w:val="24"/>
        </w:rPr>
        <w:t xml:space="preserve"> </w:t>
      </w:r>
      <w:r w:rsidR="00CB245E" w:rsidRPr="008E2DB5">
        <w:t xml:space="preserve"> Chapitre III : Résultats et discussions</w:t>
      </w:r>
    </w:p>
    <w:p w:rsidR="00822B4B" w:rsidRPr="008E2DB5" w:rsidRDefault="00822B4B" w:rsidP="00B36C97">
      <w:pPr>
        <w:tabs>
          <w:tab w:val="right" w:leader="dot" w:pos="9344"/>
        </w:tabs>
        <w:spacing w:after="12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2DB5">
        <w:rPr>
          <w:rFonts w:asciiTheme="majorBidi" w:hAnsiTheme="majorBidi" w:cstheme="majorBidi"/>
          <w:sz w:val="24"/>
          <w:szCs w:val="24"/>
        </w:rPr>
        <w:t>Figure III.1 : la variation de rendement en fonction de l'énergie incidence et le gaz ionise d’Argon</w:t>
      </w:r>
      <w:r w:rsidRPr="00B04D53">
        <w:rPr>
          <w:rFonts w:asciiTheme="majorBidi" w:hAnsiTheme="majorBidi" w:cstheme="majorBidi"/>
          <w:sz w:val="28"/>
          <w:szCs w:val="28"/>
        </w:rPr>
        <w:t>………………</w:t>
      </w:r>
      <w:r w:rsidR="00B04D53">
        <w:rPr>
          <w:rFonts w:asciiTheme="majorBidi" w:hAnsiTheme="majorBidi" w:cstheme="majorBidi"/>
          <w:sz w:val="28"/>
          <w:szCs w:val="28"/>
        </w:rPr>
        <w:t>……………………………………………………….</w:t>
      </w:r>
      <w:r w:rsidR="00BD43F8" w:rsidRPr="00B04D53">
        <w:rPr>
          <w:rFonts w:asciiTheme="majorBidi" w:hAnsiTheme="majorBidi" w:cstheme="majorBidi"/>
          <w:sz w:val="28"/>
          <w:szCs w:val="28"/>
        </w:rPr>
        <w:t>…..</w:t>
      </w:r>
      <w:r w:rsidR="00B36C97">
        <w:rPr>
          <w:rFonts w:asciiTheme="majorBidi" w:hAnsiTheme="majorBidi" w:cstheme="majorBidi" w:hint="cs"/>
          <w:sz w:val="28"/>
          <w:szCs w:val="28"/>
          <w:rtl/>
        </w:rPr>
        <w:t>50</w:t>
      </w:r>
    </w:p>
    <w:p w:rsidR="00247902" w:rsidRPr="008E2DB5" w:rsidRDefault="00247902" w:rsidP="00B36C97">
      <w:pPr>
        <w:pStyle w:val="TM1"/>
        <w:spacing w:after="120"/>
        <w:jc w:val="both"/>
        <w:rPr>
          <w:b w:val="0"/>
          <w:bCs w:val="0"/>
          <w:noProof/>
        </w:rPr>
      </w:pPr>
      <w:r w:rsidRPr="008E2DB5">
        <w:rPr>
          <w:b w:val="0"/>
          <w:bCs w:val="0"/>
        </w:rPr>
        <w:fldChar w:fldCharType="begin"/>
      </w:r>
      <w:r w:rsidRPr="008E2DB5">
        <w:rPr>
          <w:b w:val="0"/>
          <w:bCs w:val="0"/>
        </w:rPr>
        <w:instrText xml:space="preserve"> TOC \o "1-3" \h \z \u </w:instrText>
      </w:r>
      <w:r w:rsidRPr="008E2DB5">
        <w:rPr>
          <w:b w:val="0"/>
          <w:bCs w:val="0"/>
        </w:rPr>
        <w:fldChar w:fldCharType="separate"/>
      </w:r>
      <w:hyperlink w:anchor="_Toc12990910" w:history="1">
        <w:r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III.2 : la variation de rendement en fonction de l'énergie incidence de Néon</w:t>
        </w:r>
        <w:r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51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1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III.3 : la variation de rendement en fonction de l'énergie incidence de Xénon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52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2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III.4 : la variation de rendement en fonction de l'énergie incidence de Nitrogène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53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3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III.5 : la variation de rendement en fonction de l'énergie incidence de Radon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54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4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III.6 : les étapes de la variation de rendement en fonction de l'énergie incidence de Radon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55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5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III.7 : la variation de rendement en fonction de l'angle incidence d’Argon et néon et nitrogène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56</w:t>
        </w:r>
      </w:hyperlink>
    </w:p>
    <w:p w:rsidR="00247902" w:rsidRPr="008E2DB5" w:rsidRDefault="005A4578" w:rsidP="00B36C97">
      <w:pPr>
        <w:pStyle w:val="TM1"/>
        <w:spacing w:after="120"/>
        <w:jc w:val="both"/>
        <w:rPr>
          <w:b w:val="0"/>
          <w:bCs w:val="0"/>
          <w:noProof/>
        </w:rPr>
      </w:pPr>
      <w:hyperlink w:anchor="_Toc12990916" w:history="1">
        <w:r w:rsidR="00247902" w:rsidRPr="008E2DB5">
          <w:rPr>
            <w:rStyle w:val="Lienhypertexte"/>
            <w:b w:val="0"/>
            <w:bCs w:val="0"/>
            <w:noProof/>
            <w:sz w:val="24"/>
            <w:szCs w:val="24"/>
          </w:rPr>
          <w:t>Figure III.8 : la variation de rendement en fonction de l'angle incidence de Radon et xénon</w:t>
        </w:r>
        <w:r w:rsidR="00247902" w:rsidRPr="008E2DB5">
          <w:rPr>
            <w:b w:val="0"/>
            <w:bCs w:val="0"/>
            <w:noProof/>
            <w:webHidden/>
          </w:rPr>
          <w:tab/>
        </w:r>
        <w:r w:rsidR="00B36C97">
          <w:rPr>
            <w:rFonts w:hint="cs"/>
            <w:b w:val="0"/>
            <w:bCs w:val="0"/>
            <w:noProof/>
            <w:webHidden/>
            <w:rtl/>
          </w:rPr>
          <w:t>57</w:t>
        </w:r>
      </w:hyperlink>
    </w:p>
    <w:p w:rsidR="00FA44D0" w:rsidRPr="008E2DB5" w:rsidRDefault="00247902" w:rsidP="00B04D53">
      <w:pPr>
        <w:pStyle w:val="TM1"/>
        <w:spacing w:after="120"/>
        <w:jc w:val="both"/>
        <w:rPr>
          <w:rFonts w:eastAsiaTheme="minorEastAsia"/>
          <w:noProof/>
          <w:lang w:eastAsia="fr-FR"/>
        </w:rPr>
      </w:pPr>
      <w:r w:rsidRPr="008E2DB5">
        <w:rPr>
          <w:b w:val="0"/>
          <w:bCs w:val="0"/>
          <w:sz w:val="24"/>
          <w:szCs w:val="24"/>
        </w:rPr>
        <w:fldChar w:fldCharType="end"/>
      </w:r>
      <w:hyperlink w:anchor="_Toc12990164" w:history="1"/>
    </w:p>
    <w:p w:rsidR="003C67DC" w:rsidRPr="00CB245E" w:rsidRDefault="00FA44D0" w:rsidP="008D3FB3">
      <w:pPr>
        <w:tabs>
          <w:tab w:val="right" w:leader="dot" w:pos="9344"/>
        </w:tabs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8E2DB5">
        <w:rPr>
          <w:rFonts w:asciiTheme="majorBidi" w:hAnsiTheme="majorBidi" w:cstheme="majorBidi"/>
          <w:sz w:val="24"/>
          <w:szCs w:val="24"/>
        </w:rPr>
        <w:fldChar w:fldCharType="end"/>
      </w:r>
    </w:p>
    <w:sectPr w:rsidR="003C67DC" w:rsidRPr="00CB245E" w:rsidSect="00822B4B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BF2" w:rsidRDefault="004D5BF2" w:rsidP="00BF43A5">
      <w:pPr>
        <w:spacing w:after="0" w:line="240" w:lineRule="auto"/>
      </w:pPr>
      <w:r>
        <w:separator/>
      </w:r>
    </w:p>
  </w:endnote>
  <w:endnote w:type="continuationSeparator" w:id="0">
    <w:p w:rsidR="004D5BF2" w:rsidRDefault="004D5BF2" w:rsidP="00BF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BF2" w:rsidRDefault="004D5BF2" w:rsidP="00BF43A5">
      <w:pPr>
        <w:spacing w:after="0" w:line="240" w:lineRule="auto"/>
      </w:pPr>
      <w:r>
        <w:separator/>
      </w:r>
    </w:p>
  </w:footnote>
  <w:footnote w:type="continuationSeparator" w:id="0">
    <w:p w:rsidR="004D5BF2" w:rsidRDefault="004D5BF2" w:rsidP="00BF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Bidi" w:eastAsiaTheme="majorEastAsia" w:hAnsiTheme="majorBidi" w:cstheme="majorBidi"/>
        <w:sz w:val="28"/>
        <w:szCs w:val="28"/>
      </w:rPr>
      <w:alias w:val="Titre"/>
      <w:id w:val="77738743"/>
      <w:placeholder>
        <w:docPart w:val="97658A63971749BABB945618DB5ACC2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F43A5" w:rsidRPr="00BF43A5" w:rsidRDefault="00BF43A5" w:rsidP="00BF43A5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Bidi" w:eastAsiaTheme="majorEastAsia" w:hAnsiTheme="majorBidi" w:cstheme="majorBidi"/>
            <w:sz w:val="28"/>
            <w:szCs w:val="28"/>
          </w:rPr>
        </w:pPr>
        <w:r w:rsidRPr="00BF43A5">
          <w:rPr>
            <w:rFonts w:asciiTheme="majorBidi" w:eastAsiaTheme="majorEastAsia" w:hAnsiTheme="majorBidi" w:cstheme="majorBidi"/>
            <w:sz w:val="28"/>
            <w:szCs w:val="28"/>
          </w:rPr>
          <w:t>Liste des Figures</w:t>
        </w:r>
      </w:p>
    </w:sdtContent>
  </w:sdt>
  <w:p w:rsidR="00BF43A5" w:rsidRDefault="00BF43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4D0"/>
    <w:rsid w:val="001C4EDC"/>
    <w:rsid w:val="001D434F"/>
    <w:rsid w:val="00213E36"/>
    <w:rsid w:val="00215805"/>
    <w:rsid w:val="00247902"/>
    <w:rsid w:val="002725F5"/>
    <w:rsid w:val="00287106"/>
    <w:rsid w:val="003C67DC"/>
    <w:rsid w:val="004D5BF2"/>
    <w:rsid w:val="00512C65"/>
    <w:rsid w:val="005A4578"/>
    <w:rsid w:val="006317FC"/>
    <w:rsid w:val="006D5CB4"/>
    <w:rsid w:val="006F5D70"/>
    <w:rsid w:val="00822519"/>
    <w:rsid w:val="00822B4B"/>
    <w:rsid w:val="008D3FB3"/>
    <w:rsid w:val="008D6DF1"/>
    <w:rsid w:val="008E2DB5"/>
    <w:rsid w:val="00911FF6"/>
    <w:rsid w:val="0098695E"/>
    <w:rsid w:val="009B4BC0"/>
    <w:rsid w:val="00A10A34"/>
    <w:rsid w:val="00B04D53"/>
    <w:rsid w:val="00B36C97"/>
    <w:rsid w:val="00BD43F8"/>
    <w:rsid w:val="00BF43A5"/>
    <w:rsid w:val="00BF51E8"/>
    <w:rsid w:val="00CB245E"/>
    <w:rsid w:val="00CF662E"/>
    <w:rsid w:val="00F410BB"/>
    <w:rsid w:val="00FA44D0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D0"/>
  </w:style>
  <w:style w:type="paragraph" w:styleId="Titre1">
    <w:name w:val="heading 1"/>
    <w:basedOn w:val="Normal"/>
    <w:next w:val="Normal"/>
    <w:link w:val="Titre1Car"/>
    <w:uiPriority w:val="9"/>
    <w:qFormat/>
    <w:rsid w:val="006317FC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8E2DB5"/>
    <w:pPr>
      <w:tabs>
        <w:tab w:val="right" w:leader="dot" w:pos="9344"/>
        <w:tab w:val="right" w:leader="dot" w:pos="9396"/>
      </w:tabs>
      <w:spacing w:after="100" w:line="360" w:lineRule="auto"/>
      <w:jc w:val="center"/>
    </w:pPr>
    <w:rPr>
      <w:rFonts w:asciiTheme="majorBidi" w:hAnsiTheme="majorBidi" w:cstheme="majorBidi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FA44D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317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90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90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B245E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B245E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3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4D0"/>
  </w:style>
  <w:style w:type="paragraph" w:styleId="Titre1">
    <w:name w:val="heading 1"/>
    <w:basedOn w:val="Normal"/>
    <w:next w:val="Normal"/>
    <w:link w:val="Titre1Car"/>
    <w:uiPriority w:val="9"/>
    <w:qFormat/>
    <w:rsid w:val="006317FC"/>
    <w:pPr>
      <w:keepNext/>
      <w:keepLines/>
      <w:spacing w:before="480" w:after="0"/>
      <w:outlineLvl w:val="0"/>
    </w:pPr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autoRedefine/>
    <w:uiPriority w:val="39"/>
    <w:unhideWhenUsed/>
    <w:rsid w:val="008E2DB5"/>
    <w:pPr>
      <w:tabs>
        <w:tab w:val="right" w:leader="dot" w:pos="9344"/>
        <w:tab w:val="right" w:leader="dot" w:pos="9396"/>
      </w:tabs>
      <w:spacing w:after="100" w:line="360" w:lineRule="auto"/>
      <w:jc w:val="center"/>
    </w:pPr>
    <w:rPr>
      <w:rFonts w:asciiTheme="majorBidi" w:hAnsiTheme="majorBidi" w:cstheme="majorBidi"/>
      <w:b/>
      <w:bCs/>
      <w:sz w:val="28"/>
      <w:szCs w:val="28"/>
    </w:rPr>
  </w:style>
  <w:style w:type="character" w:styleId="Lienhypertexte">
    <w:name w:val="Hyperlink"/>
    <w:basedOn w:val="Policepardfaut"/>
    <w:uiPriority w:val="99"/>
    <w:unhideWhenUsed/>
    <w:rsid w:val="00FA44D0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317F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7902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7902"/>
    <w:rPr>
      <w:rFonts w:ascii="Tahoma" w:eastAsiaTheme="minorEastAsia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B245E"/>
    <w:pPr>
      <w:tabs>
        <w:tab w:val="center" w:pos="4536"/>
        <w:tab w:val="right" w:pos="9072"/>
      </w:tabs>
      <w:spacing w:after="0" w:line="240" w:lineRule="auto"/>
    </w:pPr>
    <w:rPr>
      <w:rFonts w:eastAsiaTheme="minorEastAsia" w:cs="Arial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CB245E"/>
    <w:rPr>
      <w:rFonts w:eastAsiaTheme="minorEastAsia" w:cs="Arial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F4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658A63971749BABB945618DB5ACC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E8A0D4-6CB8-4BB4-AA70-44BE8CBE35FE}"/>
      </w:docPartPr>
      <w:docPartBody>
        <w:p w:rsidR="00F95433" w:rsidRDefault="00FE177E" w:rsidP="00FE177E">
          <w:pPr>
            <w:pStyle w:val="97658A63971749BABB945618DB5ACC2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77E"/>
    <w:rsid w:val="000236CF"/>
    <w:rsid w:val="00023B45"/>
    <w:rsid w:val="00AB391E"/>
    <w:rsid w:val="00C02323"/>
    <w:rsid w:val="00DA3400"/>
    <w:rsid w:val="00EE012E"/>
    <w:rsid w:val="00F95433"/>
    <w:rsid w:val="00FE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658A63971749BABB945618DB5ACC24">
    <w:name w:val="97658A63971749BABB945618DB5ACC24"/>
    <w:rsid w:val="00FE177E"/>
  </w:style>
  <w:style w:type="paragraph" w:customStyle="1" w:styleId="1B1155669E6745579A756D5AD6C6E9C3">
    <w:name w:val="1B1155669E6745579A756D5AD6C6E9C3"/>
    <w:rsid w:val="00FE17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658A63971749BABB945618DB5ACC24">
    <w:name w:val="97658A63971749BABB945618DB5ACC24"/>
    <w:rsid w:val="00FE177E"/>
  </w:style>
  <w:style w:type="paragraph" w:customStyle="1" w:styleId="1B1155669E6745579A756D5AD6C6E9C3">
    <w:name w:val="1B1155669E6745579A756D5AD6C6E9C3"/>
    <w:rsid w:val="00FE17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Liste des Figures</vt:lpstr>
    </vt:vector>
  </TitlesOfParts>
  <Company/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Figures</dc:title>
  <dc:creator>bureau</dc:creator>
  <cp:lastModifiedBy>HP</cp:lastModifiedBy>
  <cp:revision>61</cp:revision>
  <dcterms:created xsi:type="dcterms:W3CDTF">2019-07-02T19:03:00Z</dcterms:created>
  <dcterms:modified xsi:type="dcterms:W3CDTF">2019-07-22T09:32:00Z</dcterms:modified>
</cp:coreProperties>
</file>