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55" w:rsidRPr="00563FE9" w:rsidRDefault="001D1F84" w:rsidP="00563FE9">
      <w:pPr>
        <w:spacing w:before="120" w:after="120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bookmarkStart w:id="0" w:name="_GoBack"/>
      <w:bookmarkEnd w:id="0"/>
      <w:r w:rsidRPr="00563FE9">
        <w:rPr>
          <w:rFonts w:asciiTheme="majorBidi" w:hAnsiTheme="majorBidi" w:cstheme="majorBidi"/>
          <w:b/>
          <w:bCs/>
          <w:i/>
          <w:iCs/>
          <w:sz w:val="26"/>
          <w:szCs w:val="26"/>
        </w:rPr>
        <w:t>LISTE DES SYMBOLES</w:t>
      </w:r>
    </w:p>
    <w:tbl>
      <w:tblPr>
        <w:tblStyle w:val="Grilledutableau"/>
        <w:tblpPr w:leftFromText="141" w:rightFromText="141" w:horzAnchor="margin" w:tblpY="60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84"/>
        <w:gridCol w:w="8363"/>
      </w:tblGrid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ρ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densité de l'air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S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Surface balayée par le rotor de l'éolienne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m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Masse d'air traversant le rotor éolien en 1s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Pm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Puissance extraite par le rotor éolien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color w:val="F79646" w:themeColor="accent6"/>
              </w:rPr>
              <w:t>Pmt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Puissance théorique maximale extractible d'un vent non perturbé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Cp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Coefficient de puissance de l'éolienne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λ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Vitesse relative de l'éolienne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Ω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Vitesse de rotation de la génératrice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color w:val="F79646" w:themeColor="accent6"/>
              </w:rPr>
              <w:t>Pmg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Puissance mécanique disponible sur l'arbre de la génératrice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V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Vecteur vitesse du vent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f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Fréquence du réseau électrique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R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Rayon de la turbine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color w:val="F79646" w:themeColor="accent6"/>
              </w:rPr>
              <w:t>Γe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Couple électromagnétique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color w:val="F79646" w:themeColor="accent6"/>
              </w:rPr>
              <w:t>Rs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Résistances des enroulements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color w:val="F79646" w:themeColor="accent6"/>
              </w:rPr>
              <w:t>Ψf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flux efficace des aimants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color w:val="F79646" w:themeColor="accent6"/>
              </w:rPr>
              <w:t>Ls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Inductance synchrone</w:t>
            </w:r>
          </w:p>
        </w:tc>
      </w:tr>
      <w:tr w:rsidR="00A10E55" w:rsidRPr="00017B18" w:rsidTr="005D2EC6">
        <w:trPr>
          <w:trHeight w:val="183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color w:val="F79646" w:themeColor="accent6"/>
              </w:rPr>
              <w:t>Jm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Inertie de la machine</w:t>
            </w:r>
          </w:p>
        </w:tc>
      </w:tr>
      <w:tr w:rsidR="00A10E55" w:rsidRPr="00017B18" w:rsidTr="005D2EC6">
        <w:trPr>
          <w:trHeight w:val="216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f</w:t>
            </w:r>
            <w:r w:rsidRPr="00222F8B">
              <w:rPr>
                <w:rFonts w:asciiTheme="majorBidi" w:hAnsiTheme="majorBidi" w:cstheme="majorBidi"/>
                <w:color w:val="F79646" w:themeColor="accent6"/>
              </w:rPr>
              <w:t>m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Coefficient de frottements</w:t>
            </w:r>
          </w:p>
        </w:tc>
      </w:tr>
      <w:tr w:rsidR="00A10E55" w:rsidRPr="00017B18" w:rsidTr="005D2EC6">
        <w:trPr>
          <w:trHeight w:val="180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P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opérateur de la place</w:t>
            </w:r>
          </w:p>
        </w:tc>
      </w:tr>
      <w:tr w:rsidR="00A10E55" w:rsidRPr="00017B18" w:rsidTr="005D2EC6">
        <w:trPr>
          <w:trHeight w:val="186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Cméc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Couple mécanique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Jt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Inertie de la turbine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ft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Coefficient de frottement de la turbine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ts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Temps de simulation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xa</w:t>
            </w:r>
            <w:proofErr w:type="spellEnd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 xml:space="preserve">, </w:t>
            </w: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xb</w:t>
            </w:r>
            <w:proofErr w:type="spellEnd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, xc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Valeurs instantanées des grandeurs triphasées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xd</w:t>
            </w:r>
            <w:proofErr w:type="spellEnd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 xml:space="preserve">, </w:t>
            </w: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xq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Valeurs instantanées des grandeurs biphasées</w:t>
            </w:r>
          </w:p>
        </w:tc>
      </w:tr>
      <w:tr w:rsidR="00A10E55" w:rsidRPr="00017B18" w:rsidTr="005D2EC6">
        <w:trPr>
          <w:trHeight w:val="186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x0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composante homopolaire</w:t>
            </w:r>
          </w:p>
        </w:tc>
      </w:tr>
      <w:tr w:rsidR="00A10E55" w:rsidRPr="00017B18" w:rsidTr="005D2EC6">
        <w:trPr>
          <w:trHeight w:val="180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θ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L’angle entre l’axe d et l’axe de référence dans le système triphasé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Rch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Résistance de la charge</w:t>
            </w:r>
          </w:p>
        </w:tc>
      </w:tr>
      <w:tr w:rsidR="00A10E55" w:rsidRPr="00017B18" w:rsidTr="005D2EC6">
        <w:trPr>
          <w:trHeight w:val="186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Ld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L’inductance sur l’axe d</w:t>
            </w:r>
          </w:p>
        </w:tc>
      </w:tr>
      <w:tr w:rsidR="00A10E55" w:rsidRPr="00017B18" w:rsidTr="005D2EC6">
        <w:trPr>
          <w:trHeight w:val="176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Lq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L’inductance sur l’axe q</w:t>
            </w:r>
          </w:p>
        </w:tc>
      </w:tr>
      <w:tr w:rsidR="00A10E55" w:rsidRPr="00017B18" w:rsidTr="005D2EC6">
        <w:trPr>
          <w:trHeight w:val="186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Lch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Inductance de la charge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P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Nombre de pôles</w:t>
            </w:r>
          </w:p>
        </w:tc>
      </w:tr>
      <w:tr w:rsidR="00A10E55" w:rsidRPr="00017B18" w:rsidTr="005D2EC6">
        <w:trPr>
          <w:trHeight w:val="186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lastRenderedPageBreak/>
              <w:t>ts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Temps de la simulation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VL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Tension aux bornes de l’inductance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VAK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Tension anode-cathode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iAK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Le courant anode-cathode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ia</w:t>
            </w:r>
            <w:proofErr w:type="spellEnd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 xml:space="preserve">, </w:t>
            </w: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ib</w:t>
            </w:r>
            <w:proofErr w:type="spellEnd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 xml:space="preserve"> et </w:t>
            </w: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ic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Les courants des phase (</w:t>
            </w:r>
            <w:proofErr w:type="spellStart"/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a</w:t>
            </w:r>
            <w:proofErr w:type="gramStart"/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,b,c</w:t>
            </w:r>
            <w:proofErr w:type="spellEnd"/>
            <w:proofErr w:type="gramEnd"/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)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Idc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Courant continu</w:t>
            </w:r>
          </w:p>
        </w:tc>
      </w:tr>
      <w:tr w:rsidR="00A10E55" w:rsidRPr="00017B18" w:rsidTr="005D2EC6">
        <w:trPr>
          <w:trHeight w:val="186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proofErr w:type="spellStart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Vdc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Tension du bus continue</w:t>
            </w:r>
          </w:p>
        </w:tc>
      </w:tr>
      <w:tr w:rsidR="00A10E55" w:rsidRPr="00017B18" w:rsidTr="005D2EC6">
        <w:trPr>
          <w:trHeight w:val="182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va</w:t>
            </w:r>
            <w:r w:rsidRPr="00222F8B">
              <w:rPr>
                <w:rFonts w:asciiTheme="majorBidi" w:hAnsiTheme="majorBidi" w:cstheme="majorBidi"/>
                <w:color w:val="F79646" w:themeColor="accent6"/>
              </w:rPr>
              <w:t xml:space="preserve">, </w:t>
            </w:r>
            <w:proofErr w:type="spellStart"/>
            <w:r w:rsidRPr="00222F8B">
              <w:rPr>
                <w:rFonts w:asciiTheme="majorBidi" w:hAnsiTheme="majorBidi" w:cstheme="majorBidi"/>
                <w:color w:val="F79646" w:themeColor="accent6"/>
              </w:rPr>
              <w:t>v</w:t>
            </w:r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b</w:t>
            </w:r>
            <w:proofErr w:type="spellEnd"/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 xml:space="preserve"> </w:t>
            </w:r>
            <w:r w:rsidRPr="00222F8B">
              <w:rPr>
                <w:rFonts w:asciiTheme="majorBidi" w:hAnsiTheme="majorBidi" w:cstheme="majorBidi"/>
                <w:color w:val="F79646" w:themeColor="accent6"/>
              </w:rPr>
              <w:t xml:space="preserve">et </w:t>
            </w:r>
            <w:proofErr w:type="spellStart"/>
            <w:r w:rsidRPr="00222F8B">
              <w:rPr>
                <w:rFonts w:asciiTheme="majorBidi" w:hAnsiTheme="majorBidi" w:cstheme="majorBidi"/>
                <w:color w:val="F79646" w:themeColor="accent6"/>
              </w:rPr>
              <w:t>v</w:t>
            </w:r>
            <w:r w:rsidRPr="00222F8B">
              <w:rPr>
                <w:rFonts w:asciiTheme="majorBidi" w:hAnsiTheme="majorBidi" w:cstheme="majorBidi"/>
                <w:i/>
                <w:iCs/>
                <w:color w:val="F79646" w:themeColor="accent6"/>
              </w:rPr>
              <w:t>c</w:t>
            </w:r>
            <w:proofErr w:type="spellEnd"/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Les tensions des phase (</w:t>
            </w:r>
            <w:proofErr w:type="spellStart"/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a</w:t>
            </w:r>
            <w:proofErr w:type="gramStart"/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,b,c</w:t>
            </w:r>
            <w:proofErr w:type="spellEnd"/>
            <w:proofErr w:type="gramEnd"/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)</w:t>
            </w:r>
          </w:p>
        </w:tc>
      </w:tr>
      <w:tr w:rsidR="00A10E55" w:rsidRPr="00017B18" w:rsidTr="005D2EC6">
        <w:trPr>
          <w:trHeight w:val="180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MSAP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Machine synchrone à Aimant Permanant</w:t>
            </w:r>
          </w:p>
        </w:tc>
      </w:tr>
      <w:tr w:rsidR="00A10E55" w:rsidRPr="00017B18" w:rsidTr="005D2EC6">
        <w:trPr>
          <w:trHeight w:val="180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C.D.E.R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Centre de Développement des Energies Renouvelable</w:t>
            </w:r>
          </w:p>
        </w:tc>
      </w:tr>
      <w:tr w:rsidR="00A10E55" w:rsidRPr="00017B18" w:rsidTr="005D2EC6">
        <w:trPr>
          <w:trHeight w:val="180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MLI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Modulation de la largeur d’impulsion</w:t>
            </w:r>
          </w:p>
        </w:tc>
      </w:tr>
      <w:tr w:rsidR="00A10E55" w:rsidRPr="00017B18" w:rsidTr="005D2EC6">
        <w:trPr>
          <w:trHeight w:val="180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EDF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Electricité De France</w:t>
            </w:r>
          </w:p>
        </w:tc>
      </w:tr>
      <w:tr w:rsidR="00A10E55" w:rsidRPr="00017B18" w:rsidTr="005D2EC6">
        <w:trPr>
          <w:trHeight w:val="180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GSAP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Génératrice Synchrone à Aimant Permanant</w:t>
            </w:r>
          </w:p>
        </w:tc>
      </w:tr>
      <w:tr w:rsidR="00A10E55" w:rsidRPr="00017B18" w:rsidTr="005D2EC6">
        <w:trPr>
          <w:trHeight w:val="227"/>
        </w:trPr>
        <w:tc>
          <w:tcPr>
            <w:tcW w:w="1384" w:type="dxa"/>
            <w:shd w:val="clear" w:color="auto" w:fill="FFFFFF" w:themeFill="background1"/>
          </w:tcPr>
          <w:p w:rsidR="00A10E55" w:rsidRPr="00222F8B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F79646" w:themeColor="accent6"/>
              </w:rPr>
            </w:pPr>
            <w:r w:rsidRPr="00222F8B">
              <w:rPr>
                <w:rFonts w:asciiTheme="majorBidi" w:hAnsiTheme="majorBidi" w:cstheme="majorBidi"/>
                <w:color w:val="F79646" w:themeColor="accent6"/>
              </w:rPr>
              <w:t>MPPT</w:t>
            </w:r>
          </w:p>
        </w:tc>
        <w:tc>
          <w:tcPr>
            <w:tcW w:w="8363" w:type="dxa"/>
            <w:shd w:val="clear" w:color="auto" w:fill="FFFFFF" w:themeFill="background1"/>
          </w:tcPr>
          <w:p w:rsidR="00A10E55" w:rsidRPr="00B12A92" w:rsidRDefault="00A10E55" w:rsidP="00563FE9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color w:val="404040" w:themeColor="text1" w:themeTint="BF"/>
              </w:rPr>
            </w:pPr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 xml:space="preserve">Maximum Power Point </w:t>
            </w:r>
            <w:proofErr w:type="spellStart"/>
            <w:r w:rsidRPr="00B12A92">
              <w:rPr>
                <w:rFonts w:asciiTheme="majorBidi" w:hAnsiTheme="majorBidi" w:cstheme="majorBidi"/>
                <w:color w:val="404040" w:themeColor="text1" w:themeTint="BF"/>
              </w:rPr>
              <w:t>Tracking</w:t>
            </w:r>
            <w:proofErr w:type="spellEnd"/>
          </w:p>
        </w:tc>
      </w:tr>
    </w:tbl>
    <w:p w:rsidR="00A10E55" w:rsidRPr="00A10E55" w:rsidRDefault="00A10E55" w:rsidP="00A10E55">
      <w:pPr>
        <w:rPr>
          <w:b/>
          <w:bCs/>
          <w:sz w:val="24"/>
          <w:szCs w:val="24"/>
        </w:rPr>
      </w:pPr>
    </w:p>
    <w:p w:rsidR="00791C0C" w:rsidRDefault="00791C0C"/>
    <w:sectPr w:rsidR="00791C0C" w:rsidSect="00791C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9F" w:rsidRPr="00907A75" w:rsidRDefault="00414F9F" w:rsidP="00A10E55">
      <w:pPr>
        <w:spacing w:after="0" w:line="240" w:lineRule="auto"/>
      </w:pPr>
      <w:r>
        <w:separator/>
      </w:r>
    </w:p>
  </w:endnote>
  <w:endnote w:type="continuationSeparator" w:id="0">
    <w:p w:rsidR="00414F9F" w:rsidRPr="00907A75" w:rsidRDefault="00414F9F" w:rsidP="00A1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6C" w:rsidRDefault="00D05C6C" w:rsidP="00D05C6C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D05C6C" w:rsidRDefault="00D05C6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9F" w:rsidRPr="00907A75" w:rsidRDefault="00414F9F" w:rsidP="00A10E55">
      <w:pPr>
        <w:spacing w:after="0" w:line="240" w:lineRule="auto"/>
      </w:pPr>
      <w:r>
        <w:separator/>
      </w:r>
    </w:p>
  </w:footnote>
  <w:footnote w:type="continuationSeparator" w:id="0">
    <w:p w:rsidR="00414F9F" w:rsidRPr="00907A75" w:rsidRDefault="00414F9F" w:rsidP="00A1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b/>
        <w:bCs/>
        <w:sz w:val="20"/>
        <w:szCs w:val="20"/>
      </w:rPr>
      <w:alias w:val="Titre"/>
      <w:id w:val="77738743"/>
      <w:placeholder>
        <w:docPart w:val="E578A6CB669642C4A8AEB596CC32C4B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10E55" w:rsidRPr="00715CA6" w:rsidRDefault="00715CA6" w:rsidP="00A10E5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Bidi" w:eastAsiaTheme="majorEastAsia" w:hAnsiTheme="majorBidi" w:cstheme="majorBidi"/>
            <w:sz w:val="20"/>
            <w:szCs w:val="20"/>
          </w:rPr>
        </w:pPr>
        <w:r>
          <w:rPr>
            <w:rFonts w:asciiTheme="majorBidi" w:hAnsiTheme="majorBidi" w:cstheme="majorBidi"/>
            <w:b/>
            <w:bCs/>
            <w:sz w:val="20"/>
            <w:szCs w:val="20"/>
          </w:rPr>
          <w:t xml:space="preserve">                                                                                                                                                     </w:t>
        </w:r>
        <w:r w:rsidR="00F42E69" w:rsidRPr="00715CA6">
          <w:rPr>
            <w:rFonts w:asciiTheme="majorBidi" w:hAnsiTheme="majorBidi" w:cstheme="majorBidi"/>
            <w:b/>
            <w:bCs/>
            <w:sz w:val="20"/>
            <w:szCs w:val="20"/>
          </w:rPr>
          <w:t>Liste des symboles</w:t>
        </w:r>
      </w:p>
    </w:sdtContent>
  </w:sdt>
  <w:p w:rsidR="00A10E55" w:rsidRDefault="00A10E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E55"/>
    <w:rsid w:val="00036B2C"/>
    <w:rsid w:val="00164684"/>
    <w:rsid w:val="001D1F84"/>
    <w:rsid w:val="00222F8B"/>
    <w:rsid w:val="00401D79"/>
    <w:rsid w:val="00414F9F"/>
    <w:rsid w:val="00563FE9"/>
    <w:rsid w:val="005D1606"/>
    <w:rsid w:val="005D29AA"/>
    <w:rsid w:val="005D2EC6"/>
    <w:rsid w:val="0064328A"/>
    <w:rsid w:val="00715CA6"/>
    <w:rsid w:val="00791C0C"/>
    <w:rsid w:val="00867AC5"/>
    <w:rsid w:val="008F7DB2"/>
    <w:rsid w:val="00920EB7"/>
    <w:rsid w:val="00A10E55"/>
    <w:rsid w:val="00A4391A"/>
    <w:rsid w:val="00B12A92"/>
    <w:rsid w:val="00C014E5"/>
    <w:rsid w:val="00C67753"/>
    <w:rsid w:val="00C83F04"/>
    <w:rsid w:val="00D05C6C"/>
    <w:rsid w:val="00D52C8D"/>
    <w:rsid w:val="00EC55B9"/>
    <w:rsid w:val="00F4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0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0E55"/>
  </w:style>
  <w:style w:type="paragraph" w:styleId="Pieddepage">
    <w:name w:val="footer"/>
    <w:basedOn w:val="Normal"/>
    <w:link w:val="PieddepageCar"/>
    <w:uiPriority w:val="99"/>
    <w:unhideWhenUsed/>
    <w:rsid w:val="00A10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0E55"/>
  </w:style>
  <w:style w:type="paragraph" w:styleId="Textedebulles">
    <w:name w:val="Balloon Text"/>
    <w:basedOn w:val="Normal"/>
    <w:link w:val="TextedebullesCar"/>
    <w:uiPriority w:val="99"/>
    <w:semiHidden/>
    <w:unhideWhenUsed/>
    <w:rsid w:val="00A1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E5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0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0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78A6CB669642C4A8AEB596CC32C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09271D-84AC-492B-9357-B19924134BB0}"/>
      </w:docPartPr>
      <w:docPartBody>
        <w:p w:rsidR="008D5809" w:rsidRDefault="0084456E" w:rsidP="0084456E">
          <w:pPr>
            <w:pStyle w:val="E578A6CB669642C4A8AEB596CC32C4B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456E"/>
    <w:rsid w:val="00052815"/>
    <w:rsid w:val="00441502"/>
    <w:rsid w:val="00563559"/>
    <w:rsid w:val="005E7699"/>
    <w:rsid w:val="00612D70"/>
    <w:rsid w:val="00676F7E"/>
    <w:rsid w:val="0084456E"/>
    <w:rsid w:val="008A6078"/>
    <w:rsid w:val="008D5809"/>
    <w:rsid w:val="0091726E"/>
    <w:rsid w:val="00D1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578A6CB669642C4A8AEB596CC32C4BF">
    <w:name w:val="E578A6CB669642C4A8AEB596CC32C4BF"/>
    <w:rsid w:val="0084456E"/>
  </w:style>
  <w:style w:type="paragraph" w:customStyle="1" w:styleId="7FB5D8242F4A49A990101D6516B464F3">
    <w:name w:val="7FB5D8242F4A49A990101D6516B464F3"/>
    <w:rsid w:val="00612D70"/>
  </w:style>
  <w:style w:type="paragraph" w:customStyle="1" w:styleId="E8A0D1B2B9624F4AAA755285F2F1EC3F">
    <w:name w:val="E8A0D1B2B9624F4AAA755285F2F1EC3F"/>
    <w:rsid w:val="00612D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Liste des symboles</dc:title>
  <dc:creator>lenovo</dc:creator>
  <cp:lastModifiedBy>lenovo</cp:lastModifiedBy>
  <cp:revision>10</cp:revision>
  <dcterms:created xsi:type="dcterms:W3CDTF">2015-04-29T13:40:00Z</dcterms:created>
  <dcterms:modified xsi:type="dcterms:W3CDTF">2015-06-10T19:04:00Z</dcterms:modified>
</cp:coreProperties>
</file>